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PRRIA: Claimed Strengths vs. Structural Weaknesses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1. Ban on Toxic Substances Including PFAS</w:t>
      </w:r>
      <w:r>
        <w:rPr/>
        <w:br/>
      </w:r>
      <w:r>
        <w:rPr>
          <w:rStyle w:val="Strong"/>
        </w:rPr>
        <w:t>Claimed Strength:</w:t>
      </w:r>
      <w:r>
        <w:rPr/>
        <w:t xml:space="preserve"> Section 27-3425 prohibits intentionally added PFAS, bisphenols, phthalates, and other toxics.</w:t>
        <w:br/>
      </w:r>
      <w:r>
        <w:rPr>
          <w:rStyle w:val="Strong"/>
        </w:rPr>
        <w:t>Structural Weakness:</w:t>
      </w:r>
      <w:r>
        <w:rPr/>
        <w:t xml:space="preserve"> No class-based PFAS definition; only bans "intentionally added" chemicals; allows substitution with unregulated PFAS. No requirement for public chemical disclosure—producers report only to DEC or the PRO.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2. Broad Definition of “Disposal”</w:t>
      </w:r>
      <w:r>
        <w:rPr/>
        <w:br/>
      </w:r>
      <w:r>
        <w:rPr>
          <w:rStyle w:val="Strong"/>
        </w:rPr>
        <w:t>Claimed Strength:</w:t>
      </w:r>
      <w:r>
        <w:rPr/>
        <w:t xml:space="preserve"> Section 27-3401(8) defines disposal to include </w:t>
      </w:r>
      <w:r>
        <w:rPr>
          <w:b/>
          <w:bCs/>
        </w:rPr>
        <w:t>pyrolysis, gasification, solvolysis,</w:t>
      </w:r>
      <w:r>
        <w:rPr/>
        <w:t xml:space="preserve"> etc., excluding them from being counted as recycling. It does not use the term “chemical recycling” in the definition, but it excludes chemical conversion from “Recycling” in § 27-3401(24) and categorizes chemical conversion as “Disposal” in § 27-3401(8).  </w:t>
        <w:br/>
      </w:r>
      <w:r>
        <w:rPr>
          <w:rStyle w:val="Strong"/>
        </w:rPr>
        <w:t>Structural Weakness:</w:t>
      </w:r>
      <w:r>
        <w:rPr/>
        <w:t xml:space="preserve"> </w:t>
      </w:r>
      <w:r>
        <w:rPr>
          <w:b/>
          <w:bCs/>
        </w:rPr>
        <w:t xml:space="preserve">Despite the definition, the PRO can direct funds and infrastructure toward chemical recycling </w:t>
      </w:r>
      <w:r>
        <w:rPr/>
        <w:t xml:space="preserve">under renamed forms like "molecular conversion." Industry can reintroduce it by proxy through implementation decisions. “Reintroduce by proxy” means calling it disposal on paper, while </w:t>
      </w:r>
      <w:r>
        <w:rPr>
          <w:rStyle w:val="Strong"/>
        </w:rPr>
        <w:t>functionally treating it like recycling in implementation</w:t>
      </w:r>
      <w:r>
        <w:rPr/>
        <w:t xml:space="preserve">. </w:t>
      </w:r>
      <w:r>
        <w:rPr>
          <w:b/>
          <w:bCs/>
        </w:rPr>
        <w:t>M</w:t>
      </w:r>
      <w:r>
        <w:rPr>
          <w:b/>
          <w:bCs/>
        </w:rPr>
        <w:t xml:space="preserve">ass-balance </w:t>
      </w:r>
      <w:r>
        <w:rPr/>
        <w:t xml:space="preserve">can </w:t>
      </w:r>
      <w:r>
        <w:rPr/>
        <w:t xml:space="preserve">also </w:t>
      </w:r>
      <w:r>
        <w:rPr/>
        <w:t>still be a live loophole anyway. This is the key logic gap: the bill’s “no chemical conversion in recycling” language is strong, but the recycled-content side is not written to prevent accounting tricks or to lock out chemically-derived “recycled content” claims with the same clarity.</w:t>
      </w:r>
    </w:p>
    <w:p>
      <w:pPr>
        <w:pStyle w:val="BodyText"/>
        <w:bidi w:val="0"/>
        <w:jc w:val="start"/>
        <w:rPr/>
      </w:pPr>
      <w:r>
        <w:rPr/>
        <w:t xml:space="preserve">Even though </w:t>
      </w:r>
      <w:r>
        <w:rPr>
          <w:rStyle w:val="Strong"/>
        </w:rPr>
        <w:t>PRRIA defines these processes as “disposal,” not “recycling,”</w:t>
      </w:r>
      <w:r>
        <w:rPr/>
        <w:t xml:space="preserve"> the </w:t>
      </w:r>
      <w:r>
        <w:rPr>
          <w:rStyle w:val="Strong"/>
        </w:rPr>
        <w:t>bill does not explicitly prohibit</w:t>
      </w:r>
      <w:r>
        <w:rPr/>
        <w:t>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Funding infrastructure that supports them.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Contracting with companies using them.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Including them in collection systems or mixed material streams.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Because the </w:t>
      </w:r>
      <w:r>
        <w:rPr>
          <w:rStyle w:val="Strong"/>
        </w:rPr>
        <w:t>Producer Responsibility Organization (PRO)</w:t>
      </w:r>
      <w:r>
        <w:rPr/>
        <w:t xml:space="preserve"> is given wide latitude to design the </w:t>
      </w:r>
      <w:r>
        <w:rPr>
          <w:rStyle w:val="Strong"/>
        </w:rPr>
        <w:t>collection, processing, and funding plan</w:t>
      </w:r>
      <w:r>
        <w:rPr/>
        <w:t>, here's how it can happen:</w:t>
      </w:r>
    </w:p>
    <w:p>
      <w:pPr>
        <w:pStyle w:val="Heading4"/>
        <w:bidi w:val="0"/>
        <w:spacing w:lineRule="auto" w:line="276" w:before="0" w:after="140"/>
        <w:ind w:hanging="0" w:start="0"/>
        <w:jc w:val="start"/>
        <w:rPr/>
      </w:pPr>
      <w:r>
        <w:rPr/>
        <w:t xml:space="preserve">✅ </w:t>
      </w:r>
      <w:r>
        <w:rPr/>
        <w:t>Example of Reintroduction by Proxy: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A PRO claims it’s supporting </w:t>
      </w:r>
      <w:r>
        <w:rPr>
          <w:rStyle w:val="Strong"/>
        </w:rPr>
        <w:t>“material reclamation innovation”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They subcontract with a facility using pyrolysis or gasification under another term—</w:t>
      </w:r>
      <w:r>
        <w:rPr>
          <w:rStyle w:val="Strong"/>
        </w:rPr>
        <w:t>not calling it recycling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Even if the process is technically "disposal," it </w:t>
      </w:r>
      <w:r>
        <w:rPr>
          <w:rStyle w:val="Strong"/>
        </w:rPr>
        <w:t>receives input materials and funding</w:t>
      </w:r>
      <w:r>
        <w:rPr/>
        <w:t xml:space="preserve"> like recycling would.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So while PRRIA </w:t>
      </w:r>
      <w:r>
        <w:rPr>
          <w:rStyle w:val="Emphasis"/>
        </w:rPr>
        <w:t>says</w:t>
      </w:r>
      <w:r>
        <w:rPr/>
        <w:t xml:space="preserve"> chemical recycling isn't recycling, it doesn't stop: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Money</w:t>
      </w:r>
      <w:r>
        <w:rPr/>
        <w:t xml:space="preserve"> from going to those projects,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Plastic</w:t>
      </w:r>
      <w:r>
        <w:rPr/>
        <w:t xml:space="preserve"> from being directed there, and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 messaging</w:t>
      </w:r>
      <w:r>
        <w:rPr/>
        <w:t xml:space="preserve"> that presents it as a solution.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Unless the </w:t>
      </w:r>
      <w:r>
        <w:rPr>
          <w:rStyle w:val="Strong"/>
        </w:rPr>
        <w:t>law explicitly bars public or producer funds from supporting molecular conversion facilities</w:t>
      </w:r>
      <w:r>
        <w:rPr/>
        <w:t xml:space="preserve">, it leaves a </w:t>
      </w:r>
      <w:r>
        <w:rPr>
          <w:rStyle w:val="Strong"/>
        </w:rPr>
        <w:t>backdoor open</w:t>
      </w:r>
      <w:r>
        <w:rPr/>
        <w:t>.</w:t>
        <w:br/>
        <w:br/>
        <w:t xml:space="preserve">PRRIA’s </w:t>
      </w:r>
      <w:r>
        <w:rPr>
          <w:rStyle w:val="Strong"/>
        </w:rPr>
        <w:t>legal definition</w:t>
      </w:r>
      <w:r>
        <w:rPr/>
        <w:t xml:space="preserve">  </w:t>
      </w:r>
      <w:r>
        <w:rPr>
          <w:rStyle w:val="Strong"/>
        </w:rPr>
        <w:t>doesn’t block structural support</w:t>
      </w:r>
      <w:r>
        <w:rPr/>
        <w:t xml:space="preserve"> for molecular conversion. That’s what “reintroduce by proxy” means: calling it disposal on paper, while </w:t>
      </w:r>
      <w:r>
        <w:rPr>
          <w:rStyle w:val="Strong"/>
        </w:rPr>
        <w:t>functionally treating it like recycling in implementation</w:t>
      </w:r>
      <w:r>
        <w:rPr/>
        <w:t>.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>**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/>
      </w:pPr>
      <w:r>
        <w:rPr>
          <w:b w:val="false"/>
          <w:bCs w:val="false"/>
        </w:rPr>
        <w:t xml:space="preserve">Also consider </w:t>
      </w:r>
      <w:hyperlink r:id="rId2">
        <w:r>
          <w:rPr>
            <w:rStyle w:val="Hyperlink"/>
            <w:b w:val="false"/>
            <w:bCs w:val="false"/>
          </w:rPr>
          <w:t>the unfolding rulemaking process for CA EPR SB54</w:t>
        </w:r>
      </w:hyperlink>
      <w:r>
        <w:rPr>
          <w:b w:val="false"/>
          <w:bCs w:val="false"/>
        </w:rPr>
        <w:t xml:space="preserve"> after the EPR passed into law, allowing chemical recycling.   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/>
          <w:bCs/>
        </w:rPr>
      </w:pPr>
      <w:r>
        <w:rPr>
          <w:b/>
          <w:bCs/>
        </w:rPr>
        <w:t xml:space="preserve">PRRIA vs. SB 54 re: Chemical Recycling </w:t>
      </w:r>
    </w:p>
    <w:tbl>
      <w:tblPr>
        <w:tblW w:w="99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599"/>
        <w:gridCol w:w="3522"/>
        <w:gridCol w:w="3851"/>
      </w:tblGrid>
      <w:tr>
        <w:trPr>
          <w:tblHeader w:val="true"/>
        </w:trPr>
        <w:tc>
          <w:tcPr>
            <w:tcW w:w="2599" w:type="dxa"/>
            <w:tcBorders/>
            <w:vAlign w:val="center"/>
          </w:tcPr>
          <w:p>
            <w:pPr>
              <w:pStyle w:val="TableHeading"/>
              <w:rPr/>
            </w:pPr>
            <w:r>
              <w:rPr/>
              <w:t>Feature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Heading"/>
              <w:rPr/>
            </w:pPr>
            <w:r>
              <w:rPr>
                <w:rStyle w:val="Strong"/>
                <w:b/>
                <w:bCs/>
              </w:rPr>
              <w:t>PRRIA (NY)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Heading"/>
              <w:rPr/>
            </w:pPr>
            <w:r>
              <w:rPr>
                <w:rStyle w:val="Strong"/>
                <w:b/>
                <w:bCs/>
              </w:rPr>
              <w:t>SB 54 (CA)</w:t>
            </w:r>
          </w:p>
        </w:tc>
      </w:tr>
      <w:tr>
        <w:trPr/>
        <w:tc>
          <w:tcPr>
            <w:tcW w:w="2599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Legal Definition of Chemical Recycling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Explicitly defined as </w:t>
            </w:r>
            <w:r>
              <w:rPr>
                <w:rStyle w:val="Strong"/>
              </w:rPr>
              <w:t>disposal</w:t>
            </w:r>
            <w:r>
              <w:rPr/>
              <w:t xml:space="preserve">, </w:t>
            </w:r>
            <w:r>
              <w:rPr>
                <w:rStyle w:val="Strong"/>
              </w:rPr>
              <w:t>not recycling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Ambiguous—CalRecycle rulemaking may </w:t>
            </w:r>
            <w:r>
              <w:rPr>
                <w:rStyle w:val="Strong"/>
              </w:rPr>
              <w:t>allow it as recycling</w:t>
            </w:r>
          </w:p>
        </w:tc>
      </w:tr>
      <w:tr>
        <w:trPr/>
        <w:tc>
          <w:tcPr>
            <w:tcW w:w="2599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Explicit Funding Ban?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❌ </w:t>
            </w:r>
            <w:r>
              <w:rPr/>
              <w:t>No ban on PRO funds going to chemical recycling infrastructure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❌ </w:t>
            </w:r>
            <w:r>
              <w:rPr/>
              <w:t>No ban; in fact, rules may allow support explicitly</w:t>
            </w:r>
          </w:p>
        </w:tc>
      </w:tr>
      <w:tr>
        <w:trPr/>
        <w:tc>
          <w:tcPr>
            <w:tcW w:w="2599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PRO Implementation Leeway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✅ </w:t>
            </w:r>
            <w:r>
              <w:rPr/>
              <w:t>High—can subcontract, fund, or promote “conversion tech”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✅ </w:t>
            </w:r>
            <w:r>
              <w:rPr/>
              <w:t>High—same, but more overt due to legal ambiguity</w:t>
            </w:r>
          </w:p>
        </w:tc>
      </w:tr>
      <w:tr>
        <w:trPr/>
        <w:tc>
          <w:tcPr>
            <w:tcW w:w="2599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Rulemaking Safeguards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⚠ </w:t>
            </w:r>
            <w:r>
              <w:rPr/>
              <w:t>Not yet enacted—DEC could tighten or loosen definitions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❌ </w:t>
            </w:r>
            <w:r>
              <w:rPr/>
              <w:t>Already weakened via ISO workaround and hazardous waste permits</w:t>
            </w:r>
          </w:p>
        </w:tc>
      </w:tr>
      <w:tr>
        <w:trPr/>
        <w:tc>
          <w:tcPr>
            <w:tcW w:w="2599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Risk of “Reintroduction by Proxy”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⚠ </w:t>
            </w:r>
            <w:r>
              <w:rPr>
                <w:rStyle w:val="Strong"/>
              </w:rPr>
              <w:t>High, but slightly more defensible</w:t>
            </w:r>
            <w:r>
              <w:rPr/>
              <w:t xml:space="preserve"> due to legal definition</w:t>
            </w:r>
          </w:p>
        </w:tc>
        <w:tc>
          <w:tcPr>
            <w:tcW w:w="3851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 xml:space="preserve">🔥 </w:t>
            </w:r>
            <w:r>
              <w:rPr>
                <w:rStyle w:val="Strong"/>
              </w:rPr>
              <w:t>Very high</w:t>
            </w:r>
            <w:r>
              <w:rPr/>
              <w:t>—already unfolding via rulemaking reinterpretation</w:t>
            </w:r>
          </w:p>
        </w:tc>
      </w:tr>
    </w:tbl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PRRIA</w:t>
      </w:r>
      <w:r>
        <w:rPr>
          <w:b w:val="false"/>
          <w:bCs w:val="false"/>
        </w:rPr>
        <w:t xml:space="preserve"> is </w:t>
      </w:r>
      <w:r>
        <w:rPr>
          <w:rStyle w:val="Strong"/>
          <w:b w:val="false"/>
          <w:bCs w:val="false"/>
        </w:rPr>
        <w:t>legally stronger</w:t>
      </w:r>
      <w:r>
        <w:rPr>
          <w:b w:val="false"/>
          <w:bCs w:val="false"/>
        </w:rPr>
        <w:t xml:space="preserve"> on its face, </w:t>
      </w:r>
      <w:r>
        <w:rPr>
          <w:rStyle w:val="Strong"/>
          <w:b w:val="false"/>
          <w:bCs w:val="false"/>
        </w:rPr>
        <w:t>but functionally vulnerable</w:t>
      </w:r>
      <w:r>
        <w:rPr>
          <w:b w:val="false"/>
          <w:bCs w:val="false"/>
        </w:rPr>
        <w:t xml:space="preserve"> unless: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The final rules explicitly prohibit funding, contracting, or indirect support for chemical recycling facilities.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There is </w:t>
      </w:r>
      <w:r>
        <w:rPr>
          <w:rStyle w:val="Strong"/>
        </w:rPr>
        <w:t>legislative follow-up</w:t>
      </w:r>
      <w:r>
        <w:rPr/>
        <w:t xml:space="preserve"> or public oversight of PRO activities.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ind w:hanging="283" w:start="720"/>
        <w:rPr/>
      </w:pPr>
      <w:r>
        <w:rPr>
          <w:rStyle w:val="Strong"/>
        </w:rPr>
        <w:t>SB 54</w:t>
      </w:r>
      <w:r>
        <w:rPr/>
        <w:t xml:space="preserve"> is </w:t>
      </w:r>
      <w:r>
        <w:rPr>
          <w:rStyle w:val="Strong"/>
        </w:rPr>
        <w:t>more vulnerable overall</w:t>
      </w:r>
      <w:r>
        <w:rPr/>
        <w:t xml:space="preserve">, because it </w:t>
      </w:r>
      <w:r>
        <w:rPr>
          <w:rStyle w:val="Strong"/>
        </w:rPr>
        <w:t>already folded to industry pressure</w:t>
      </w:r>
      <w:r>
        <w:rPr/>
        <w:t xml:space="preserve"> during rulemaking. The use of </w:t>
      </w:r>
      <w:hyperlink r:id="rId3">
        <w:r>
          <w:rPr>
            <w:rStyle w:val="Hyperlink"/>
          </w:rPr>
          <w:t xml:space="preserve">ISO 59014 </w:t>
        </w:r>
      </w:hyperlink>
      <w:r>
        <w:rPr/>
        <w:t xml:space="preserve">and permit-compliant hazardous waste language provides a </w:t>
      </w:r>
      <w:r>
        <w:rPr>
          <w:rStyle w:val="Strong"/>
        </w:rPr>
        <w:t>full pathway for legitimizing chemical recycling as “recycling.”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ind w:hanging="283" w:start="720"/>
        <w:rPr/>
      </w:pPr>
      <w:r>
        <w:rPr>
          <w:rStyle w:val="Strong"/>
          <w:b w:val="false"/>
          <w:bCs w:val="false"/>
        </w:rPr>
        <w:t xml:space="preserve">The May 2025 SB 54 draft regulations require non-mechanical recycling technologies (e.g. chemical recycling) to operate “in a manner consistent” with </w:t>
      </w:r>
      <w:hyperlink r:id="rId4">
        <w:r>
          <w:rPr>
            <w:rStyle w:val="Hyperlink"/>
            <w:b/>
            <w:bCs/>
          </w:rPr>
          <w:t>ISO 59014:2024</w:t>
        </w:r>
      </w:hyperlink>
      <w:r>
        <w:rPr>
          <w:rStyle w:val="Strong"/>
          <w:b w:val="false"/>
          <w:bCs w:val="false"/>
        </w:rPr>
        <w:t xml:space="preserve"> in order to count as recycling under EPR</w:t>
      </w:r>
      <w:r>
        <w:rPr>
          <w:rStyle w:val="Strong"/>
        </w:rPr>
        <w:t xml:space="preserve">. </w:t>
      </w:r>
      <w:r>
        <w:rPr>
          <w:rStyle w:val="Strong"/>
          <w:b w:val="false"/>
          <w:bCs w:val="false"/>
        </w:rPr>
        <w:t xml:space="preserve">(See </w:t>
      </w:r>
      <w:hyperlink r:id="rId5">
        <w:r>
          <w:rPr>
            <w:rStyle w:val="Hyperlink"/>
            <w:b w:val="false"/>
            <w:bCs w:val="false"/>
          </w:rPr>
          <w:t>Los Angeles Times article</w:t>
        </w:r>
      </w:hyperlink>
      <w:r>
        <w:rPr>
          <w:rStyle w:val="Strong"/>
          <w:b w:val="false"/>
          <w:bCs w:val="false"/>
        </w:rPr>
        <w:t xml:space="preserve">). </w:t>
      </w:r>
      <w:r>
        <w:rPr>
          <w:rStyle w:val="Strong"/>
        </w:rPr>
        <w:t xml:space="preserve">ISO 59014:2024 </w:t>
      </w:r>
      <w:r>
        <w:rPr>
          <w:rStyle w:val="Strong"/>
          <w:b w:val="false"/>
          <w:bCs w:val="false"/>
        </w:rPr>
        <w:t xml:space="preserve">is an </w:t>
      </w:r>
      <w:r>
        <w:rPr>
          <w:rStyle w:val="Strong"/>
        </w:rPr>
        <w:t>international sta</w:t>
      </w:r>
      <w:r>
        <w:rPr>
          <w:rStyle w:val="Strong"/>
          <w:i w:val="false"/>
          <w:iCs w:val="false"/>
        </w:rPr>
        <w:t>ndard</w:t>
      </w:r>
      <w:r>
        <w:rPr>
          <w:rStyle w:val="Strong"/>
          <w:b w:val="false"/>
          <w:bCs w:val="false"/>
          <w:i w:val="false"/>
          <w:iCs w:val="false"/>
        </w:rPr>
        <w:t xml:space="preserve"> titled </w:t>
      </w:r>
      <w:r>
        <w:rPr>
          <w:rStyle w:val="Emphasis"/>
          <w:b w:val="false"/>
          <w:bCs w:val="false"/>
          <w:i w:val="false"/>
          <w:iCs w:val="false"/>
        </w:rPr>
        <w:t xml:space="preserve">“Environmental management and circular economy — Sustainability and traceability of the recovery of secondary materials — Principles, requirements and guidance.” Published in </w:t>
      </w:r>
      <w:r>
        <w:rPr>
          <w:rStyle w:val="Strong"/>
          <w:i w:val="false"/>
          <w:iCs w:val="false"/>
        </w:rPr>
        <w:t>October 2024</w:t>
      </w:r>
      <w:r>
        <w:rPr>
          <w:rStyle w:val="Emphasis"/>
          <w:b w:val="false"/>
          <w:bCs w:val="false"/>
          <w:i w:val="false"/>
          <w:iCs w:val="false"/>
        </w:rPr>
        <w:t xml:space="preserve">, this 28-page document provides a framework for organizations to adopt </w:t>
      </w:r>
      <w:r>
        <w:rPr>
          <w:rStyle w:val="Strong"/>
          <w:i w:val="false"/>
          <w:iCs w:val="false"/>
        </w:rPr>
        <w:t>sustainable and traceable</w:t>
      </w:r>
      <w:r>
        <w:rPr>
          <w:rStyle w:val="Emphasis"/>
          <w:b w:val="false"/>
          <w:bCs w:val="false"/>
          <w:i w:val="false"/>
          <w:iCs w:val="false"/>
        </w:rPr>
        <w:t xml:space="preserve"> processes when recovering secondary materials like plastics or metals</w:t>
      </w:r>
      <w:r>
        <w:rPr>
          <w:rStyle w:val="Emphasis"/>
        </w:rPr>
        <w:t xml:space="preserve">. </w:t>
      </w:r>
      <w:r>
        <w:rPr>
          <w:rStyle w:val="Emphasis"/>
          <w:b w:val="false"/>
          <w:bCs w:val="false"/>
        </w:rPr>
        <w:t xml:space="preserve">Importantly, it </w:t>
      </w:r>
      <w:r>
        <w:rPr>
          <w:rStyle w:val="Strong"/>
        </w:rPr>
        <w:t>excludes</w:t>
      </w:r>
      <w:r>
        <w:rPr>
          <w:rStyle w:val="Emphasis"/>
          <w:b w:val="false"/>
          <w:bCs w:val="false"/>
        </w:rPr>
        <w:t xml:space="preserve"> </w:t>
      </w:r>
      <w:r>
        <w:rPr>
          <w:rStyle w:val="Strong"/>
        </w:rPr>
        <w:t>energy recovery and disposal</w:t>
      </w:r>
      <w:r>
        <w:rPr>
          <w:rStyle w:val="Emphasis"/>
          <w:b w:val="false"/>
          <w:bCs w:val="false"/>
        </w:rPr>
        <w:t xml:space="preserve"> from its scope, which means chemical conversion or waste-to-energy technologies are </w:t>
      </w:r>
      <w:r>
        <w:rPr>
          <w:rStyle w:val="Strong"/>
        </w:rPr>
        <w:t>not part of recycling network guidance</w:t>
      </w:r>
      <w:r>
        <w:rPr>
          <w:rStyle w:val="Emphasis"/>
        </w:rPr>
        <w:t>.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ind w:hanging="283" w:start="720"/>
        <w:rPr/>
      </w:pPr>
      <w:r>
        <w:rPr>
          <w:rStyle w:val="Emphasis"/>
          <w:b w:val="false"/>
          <w:bCs w:val="false"/>
          <w:i w:val="false"/>
          <w:iCs w:val="false"/>
        </w:rPr>
        <w:t xml:space="preserve">ISO is </w:t>
      </w:r>
      <w:r>
        <w:rPr>
          <w:rStyle w:val="Strong"/>
          <w:i w:val="false"/>
          <w:iCs w:val="false"/>
        </w:rPr>
        <w:t>not a public regulatory body</w:t>
      </w:r>
      <w:r>
        <w:rPr>
          <w:rStyle w:val="Emphasis"/>
          <w:b w:val="false"/>
          <w:bCs w:val="false"/>
          <w:i w:val="false"/>
          <w:iCs w:val="false"/>
        </w:rPr>
        <w:t xml:space="preserve">. It’s a </w:t>
      </w:r>
      <w:r>
        <w:rPr>
          <w:rStyle w:val="Strong"/>
          <w:i w:val="false"/>
          <w:iCs w:val="false"/>
        </w:rPr>
        <w:t>private international standards group</w:t>
      </w:r>
      <w:r>
        <w:rPr>
          <w:rStyle w:val="Emphasis"/>
          <w:b w:val="false"/>
          <w:bCs w:val="false"/>
          <w:i w:val="false"/>
          <w:iCs w:val="false"/>
        </w:rPr>
        <w:t xml:space="preserve"> where participants often come from industry—meaning standards like 59014 can be crafted to accommodate market-driven interests under the guise of technical neutrality. ISO standards are often </w:t>
      </w:r>
      <w:r>
        <w:rPr>
          <w:rStyle w:val="Strong"/>
          <w:i w:val="false"/>
          <w:iCs w:val="false"/>
        </w:rPr>
        <w:t>heavily influenced by corporate interests</w:t>
      </w:r>
      <w:r>
        <w:rPr>
          <w:rStyle w:val="Emphasis"/>
          <w:b w:val="false"/>
          <w:bCs w:val="false"/>
          <w:i w:val="false"/>
          <w:iCs w:val="false"/>
        </w:rPr>
        <w:t xml:space="preserve">, especially in sectors like plastics and waste, due to the </w:t>
      </w:r>
      <w:r>
        <w:rPr>
          <w:rStyle w:val="Strong"/>
          <w:i w:val="false"/>
          <w:iCs w:val="false"/>
        </w:rPr>
        <w:t>pay-to-play nature of ISO technical committees</w:t>
      </w:r>
      <w:r>
        <w:rPr>
          <w:rStyle w:val="Emphasis"/>
          <w:b w:val="false"/>
          <w:bCs w:val="false"/>
          <w:i w:val="false"/>
          <w:iCs w:val="false"/>
        </w:rPr>
        <w:t xml:space="preserve">. Participation includes </w:t>
      </w:r>
      <w:r>
        <w:rPr>
          <w:rStyle w:val="Strong"/>
          <w:i w:val="false"/>
          <w:iCs w:val="false"/>
        </w:rPr>
        <w:t>national standard bodies</w:t>
      </w:r>
      <w:r>
        <w:rPr>
          <w:rStyle w:val="Emphasis"/>
          <w:b w:val="false"/>
          <w:bCs w:val="false"/>
          <w:i w:val="false"/>
          <w:iCs w:val="false"/>
        </w:rPr>
        <w:t xml:space="preserve"> (e.g., ANSI from the U.S., BSI from the UK, DIN from Germany) and </w:t>
      </w:r>
      <w:r>
        <w:rPr>
          <w:rStyle w:val="Strong"/>
          <w:i w:val="false"/>
          <w:iCs w:val="false"/>
        </w:rPr>
        <w:t>industry stakeholders</w:t>
      </w:r>
      <w:r>
        <w:rPr>
          <w:rStyle w:val="Emphasis"/>
          <w:b w:val="false"/>
          <w:bCs w:val="false"/>
          <w:i w:val="false"/>
          <w:iCs w:val="false"/>
        </w:rPr>
        <w:t>, including:</w:t>
      </w:r>
    </w:p>
    <w:p>
      <w:pPr>
        <w:pStyle w:val="BodyText"/>
        <w:numPr>
          <w:ilvl w:val="1"/>
          <w:numId w:val="18"/>
        </w:numPr>
        <w:tabs>
          <w:tab w:val="clear" w:pos="709"/>
          <w:tab w:val="left" w:pos="0" w:leader="none"/>
        </w:tabs>
        <w:ind w:hanging="283" w:start="1418"/>
        <w:rPr/>
      </w:pPr>
      <w:r>
        <w:rPr/>
        <w:t>Multinational corporations</w:t>
      </w:r>
    </w:p>
    <w:p>
      <w:pPr>
        <w:pStyle w:val="BodyText"/>
        <w:numPr>
          <w:ilvl w:val="1"/>
          <w:numId w:val="18"/>
        </w:numPr>
        <w:tabs>
          <w:tab w:val="clear" w:pos="709"/>
          <w:tab w:val="left" w:pos="0" w:leader="none"/>
        </w:tabs>
        <w:ind w:hanging="283" w:start="1418"/>
        <w:rPr/>
      </w:pPr>
      <w:r>
        <w:rPr/>
        <w:t>Governmental technical agencies</w:t>
      </w:r>
    </w:p>
    <w:p>
      <w:pPr>
        <w:pStyle w:val="BodyText"/>
        <w:numPr>
          <w:ilvl w:val="1"/>
          <w:numId w:val="18"/>
        </w:numPr>
        <w:tabs>
          <w:tab w:val="clear" w:pos="709"/>
          <w:tab w:val="left" w:pos="0" w:leader="none"/>
        </w:tabs>
        <w:ind w:hanging="283" w:start="1418"/>
        <w:rPr/>
      </w:pPr>
      <w:r>
        <w:rPr/>
        <w:t>Some academic and NGO observers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ind w:hanging="283" w:start="720"/>
        <w:rPr/>
      </w:pPr>
      <w:r>
        <w:rPr>
          <w:rStyle w:val="Emphasis"/>
          <w:b w:val="false"/>
          <w:bCs w:val="false"/>
          <w:i w:val="false"/>
          <w:iCs w:val="false"/>
        </w:rPr>
        <w:t xml:space="preserve">CalRecycle may have accepted ISO 59014 as a </w:t>
      </w:r>
      <w:r>
        <w:rPr>
          <w:rStyle w:val="Strong"/>
          <w:i w:val="false"/>
          <w:iCs w:val="false"/>
        </w:rPr>
        <w:t>compromise tool</w:t>
      </w:r>
      <w:r>
        <w:rPr>
          <w:rStyle w:val="Emphasis"/>
          <w:b w:val="false"/>
          <w:bCs w:val="false"/>
          <w:i w:val="false"/>
          <w:iCs w:val="false"/>
        </w:rPr>
        <w:t xml:space="preserve"> to avoid lawsuits from industry by appearing to offer a path for emerging tech while claiming safeguards still apply. But this is problematic: ISO 59014 </w:t>
      </w:r>
      <w:r>
        <w:rPr>
          <w:rStyle w:val="Strong"/>
          <w:i w:val="false"/>
          <w:iCs w:val="false"/>
        </w:rPr>
        <w:t>doesn’t prohibit hazardous waste</w:t>
      </w:r>
      <w:r>
        <w:rPr>
          <w:rStyle w:val="Emphasis"/>
          <w:b w:val="false"/>
          <w:bCs w:val="false"/>
          <w:i w:val="false"/>
          <w:iCs w:val="false"/>
        </w:rPr>
        <w:t xml:space="preserve">, nor does it define what counts as environmentally safe recycling. Few stakeholders had access to the full ISO 59014 document (due to its </w:t>
      </w:r>
      <w:r>
        <w:rPr>
          <w:rStyle w:val="Strong"/>
          <w:i w:val="false"/>
          <w:iCs w:val="false"/>
        </w:rPr>
        <w:t>paywall of approximately $150-60</w:t>
      </w:r>
      <w:r>
        <w:rPr>
          <w:rStyle w:val="Emphasis"/>
          <w:b w:val="false"/>
          <w:bCs w:val="false"/>
          <w:i w:val="false"/>
          <w:iCs w:val="false"/>
        </w:rPr>
        <w:t xml:space="preserve">), meaning it entered the rulemaking process </w:t>
      </w:r>
      <w:r>
        <w:rPr>
          <w:rStyle w:val="Strong"/>
          <w:i w:val="false"/>
          <w:iCs w:val="false"/>
        </w:rPr>
        <w:t>without proper vetting</w:t>
      </w:r>
      <w:r>
        <w:rPr>
          <w:rStyle w:val="Emphasis"/>
          <w:b w:val="false"/>
          <w:bCs w:val="false"/>
          <w:i w:val="false"/>
          <w:iCs w:val="false"/>
        </w:rPr>
        <w:t xml:space="preserve"> by environmental groups or the public. </w:t>
      </w:r>
      <w:r>
        <w:rPr>
          <w:rStyle w:val="Strong"/>
          <w:b w:val="false"/>
          <w:bCs w:val="false"/>
        </w:rPr>
        <w:br/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>**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On Mass Balance: </w:t>
        <w:br/>
        <w:br/>
        <w:t>What creates the opening:</w:t>
      </w:r>
    </w:p>
    <w:p>
      <w:pPr>
        <w:pStyle w:val="BodyText"/>
        <w:rPr/>
      </w:pPr>
      <w:r>
        <w:rPr/>
        <w:t xml:space="preserve">A. </w:t>
      </w:r>
      <w:r>
        <w:rPr>
          <w:b/>
          <w:bCs/>
        </w:rPr>
        <w:t xml:space="preserve">“Post-consumer recycled material” </w:t>
      </w:r>
      <w:r>
        <w:rPr>
          <w:b/>
          <w:bCs/>
        </w:rPr>
        <w:t xml:space="preserve">(PCR) </w:t>
      </w:r>
      <w:r>
        <w:rPr/>
        <w:t>is defined extremely vaguely.</w:t>
        <w:br/>
        <w:t xml:space="preserve">“Post-consumer recycled material” is defined as “new material produced using material resulting from recycling.” </w:t>
      </w:r>
    </w:p>
    <w:p>
      <w:pPr>
        <w:pStyle w:val="BodyText"/>
        <w:rPr/>
      </w:pPr>
      <w:r>
        <w:rPr/>
        <w:br/>
        <w:t>That definition does not require physical traceability, chain-of-custody, or any method rule. It also does not explicitly say “and not derived from chemical conversion.”</w:t>
      </w:r>
    </w:p>
    <w:p>
      <w:pPr>
        <w:pStyle w:val="BodyText"/>
        <w:rPr/>
      </w:pPr>
      <w:r>
        <w:rPr/>
        <w:t>B. The bill relies on “verification” but does not control the verification method.</w:t>
        <w:br/>
        <w:t xml:space="preserve">The fee provisions contemplate producers getting credit based on “the percentage of post-consumer recycled material content” and say that percentage “shall be verified” by the organization or an approved independent third party. </w:t>
      </w:r>
    </w:p>
    <w:p>
      <w:pPr>
        <w:pStyle w:val="BodyText"/>
        <w:rPr/>
      </w:pPr>
      <w:r>
        <w:rPr/>
        <w:br/>
        <w:t>But it never says what counts as verification. If a verifier accepts mass-balance certificates (bookkeeping allocation), PRRIA does not clearly forbid that.</w:t>
      </w:r>
    </w:p>
    <w:p>
      <w:pPr>
        <w:pStyle w:val="BodyText"/>
        <w:rPr/>
      </w:pPr>
      <w:r>
        <w:rPr/>
        <w:t>C. The “recycled content standards” use “on average” targets, which is exactly the kind of phrasing that invites allocation games.</w:t>
        <w:br/>
        <w:t xml:space="preserve">For example, glass containers “shall contain, on average” at least 35% PCR, and similar “on average” language is used for other items. </w:t>
      </w:r>
    </w:p>
    <w:p>
      <w:pPr>
        <w:pStyle w:val="BodyText"/>
        <w:rPr/>
      </w:pPr>
      <w:r>
        <w:rPr/>
        <w:br/>
        <w:t>That “on average” structure is compatible with credit-allocation approaches unless the statute explicitly requires physical content in each package or strict traceability rules.</w:t>
      </w:r>
    </w:p>
    <w:p>
      <w:pPr>
        <w:pStyle w:val="BodyText"/>
        <w:rPr/>
      </w:pPr>
      <w:r>
        <w:rPr/>
        <w:t>D. “Recyclability criteria” explicitly require meeting post-consumer content requirements, but again without defining how content is proven.</w:t>
        <w:br/>
        <w:t xml:space="preserve">Packaging must “meet the post-consumer content requirements of this title,” plus any other criteria DEC sets. </w:t>
      </w:r>
    </w:p>
    <w:p>
      <w:pPr>
        <w:pStyle w:val="BodyText"/>
        <w:rPr/>
      </w:pPr>
      <w:r>
        <w:rPr/>
        <w:br/>
        <w:t>So recycled-content accounting becomes a central compliance lever, yet the statute does not lock down the accounting method.</w:t>
      </w:r>
    </w:p>
    <w:p>
      <w:pPr>
        <w:pStyle w:val="BodyText"/>
        <w:rPr/>
      </w:pPr>
      <w:r>
        <w:rPr/>
        <w:t>E. There is an internal consistency risk between “Recycling” vs. “Recycled.”</w:t>
        <w:br/>
        <w:t xml:space="preserve">The bill defines “Recycling” (process) and excludes chemical conversion. 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br/>
        <w:t xml:space="preserve">But “Recycled” (the adjective) is defined broadly as using discarded packaging materials “in the production of a new product or packaging in place of virgin materials.” 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br/>
        <w:t>It does not explicitly say “and not through chemical conversion.” If industry argues “we are not counting the conversion step as recycling; we are claiming the output is ‘recycled content’ because it displaced virgin,” PRRIA does not give you an airtight, one-sentence statutory kill shot on the content-claim side the way it does on the recycling-process side. Agencies and courts will likely try to harmonize the definitions, but you are right to worry about exploitation through rulemaking and third-party certification.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>Typical industry moves:</w:t>
        <w:br/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Reclassify chemical conversion facilities as “manufacturing,” not solid waste processing, to ease permitting and make them eligible for industrial incentives.</w:t>
        <w:br/>
        <w:t xml:space="preserve">This is not hypothetical. </w:t>
      </w:r>
      <w:hyperlink r:id="rId6">
        <w:r>
          <w:rPr>
            <w:rStyle w:val="Hyperlink"/>
          </w:rPr>
          <w:t>A</w:t>
        </w:r>
        <w:r>
          <w:rPr>
            <w:rStyle w:val="Hyperlink"/>
          </w:rPr>
          <w:t xml:space="preserve">merican </w:t>
        </w:r>
        <w:r>
          <w:rPr>
            <w:rStyle w:val="Hyperlink"/>
          </w:rPr>
          <w:t>C</w:t>
        </w:r>
        <w:r>
          <w:rPr>
            <w:rStyle w:val="Hyperlink"/>
          </w:rPr>
          <w:t xml:space="preserve">hemistry </w:t>
        </w:r>
        <w:r>
          <w:rPr>
            <w:rStyle w:val="Hyperlink"/>
          </w:rPr>
          <w:t>C</w:t>
        </w:r>
        <w:r>
          <w:rPr>
            <w:rStyle w:val="Hyperlink"/>
          </w:rPr>
          <w:t>ouncil</w:t>
        </w:r>
      </w:hyperlink>
      <w:r>
        <w:rPr/>
        <w:t xml:space="preserve"> openly promotes this approach and says 25 states already do it.  Chemical &amp; Engineering News also </w:t>
      </w:r>
      <w:hyperlink r:id="rId7">
        <w:r>
          <w:rPr>
            <w:rStyle w:val="Hyperlink"/>
          </w:rPr>
          <w:t>describes</w:t>
        </w:r>
      </w:hyperlink>
      <w:r>
        <w:rPr/>
        <w:t xml:space="preserve"> the same trend, state laws deeming these facilities “manufacturers” rather than waste-handling facilities. 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Push mass-balance accounting so chemically-derived outputs can be sold as “recycled content” even when physical recycled input is minimal, blended, or not traceable.</w:t>
        <w:br/>
        <w:t xml:space="preserve">NRDC </w:t>
      </w:r>
      <w:hyperlink r:id="rId8">
        <w:r>
          <w:rPr>
            <w:rStyle w:val="Hyperlink"/>
          </w:rPr>
          <w:t>documents</w:t>
        </w:r>
      </w:hyperlink>
      <w:r>
        <w:rPr/>
        <w:t xml:space="preserve"> how mass-balance credit schemes (including “free” allocation) can inflate recycled-content claims and explicitly warns policymakers not to allow these schemes in EPR laws and programs.ProPublica </w:t>
      </w:r>
      <w:hyperlink r:id="rId9">
        <w:r>
          <w:rPr>
            <w:rStyle w:val="Hyperlink"/>
          </w:rPr>
          <w:t>reports</w:t>
        </w:r>
      </w:hyperlink>
      <w:r>
        <w:rPr/>
        <w:t xml:space="preserve"> EPA rejected mass-balance accounting for its Safer Choice program, underscoring that this is a contested method that industry is pushing but regulators do not uniformly accept. 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>Tie the above into EPR systems and recycled-content policy, framing chemical conversion as “necessary” for EPR performance, flexibles recovery, and PCR goals.</w:t>
      </w:r>
    </w:p>
    <w:p>
      <w:pPr>
        <w:pStyle w:val="BodyText"/>
        <w:tabs>
          <w:tab w:val="left" w:pos="709" w:leader="none"/>
        </w:tabs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br/>
        <w:t xml:space="preserve">Packaging World article </w:t>
      </w:r>
      <w:hyperlink r:id="rId10">
        <w:r>
          <w:rPr>
            <w:rStyle w:val="Hyperlink"/>
            <w:b w:val="false"/>
            <w:bCs w:val="false"/>
          </w:rPr>
          <w:t>quotes</w:t>
        </w:r>
      </w:hyperlink>
      <w:r>
        <w:rPr>
          <w:b w:val="false"/>
          <w:bCs w:val="false"/>
        </w:rPr>
        <w:t xml:space="preserve"> the Flexible Packaging Association’s CEO saying “It’s important that advanced recycling can exist … whether it’s in a standalone law or part of extended producer responsibility.” WasteDive </w:t>
      </w:r>
      <w:hyperlink r:id="rId11">
        <w:r>
          <w:rPr>
            <w:rStyle w:val="Hyperlink"/>
            <w:b w:val="false"/>
            <w:bCs w:val="false"/>
          </w:rPr>
          <w:t>reports</w:t>
        </w:r>
      </w:hyperlink>
      <w:r>
        <w:rPr>
          <w:b w:val="false"/>
          <w:bCs w:val="false"/>
        </w:rPr>
        <w:t xml:space="preserve"> ACC and FPA urging Congress to regulate chemical recycling as manufacturing (the same state-level strategy) and notes ACC-backed laws already do this in 25 states. </w:t>
        <w:br/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3. Mandatory Source Reduction</w:t>
      </w:r>
      <w:r>
        <w:rPr/>
        <w:br/>
      </w:r>
      <w:r>
        <w:rPr>
          <w:rStyle w:val="Strong"/>
        </w:rPr>
        <w:t>Claimed Strength:</w:t>
      </w:r>
      <w:r>
        <w:rPr/>
        <w:t xml:space="preserve"> Section 27-3427 mandates 10% reduction by year 3, 15% by year 5, 30% by year 12.</w:t>
        <w:br/>
      </w:r>
      <w:r>
        <w:rPr>
          <w:rStyle w:val="Strong"/>
        </w:rPr>
        <w:t>Structural Weakness:</w:t>
      </w:r>
      <w:r>
        <w:rPr/>
        <w:t xml:space="preserve"> PRO decides how to meet targets. They can use weight-lighting (thinner packaging), material substitution (glass to plastic), or multilayer formats (unrecyclable pouches). These reduce weight but increase waste and harm recyclability.</w:t>
        <w:br/>
        <w:br/>
        <w:t xml:space="preserve">Example: Switching from a </w:t>
      </w:r>
      <w:r>
        <w:rPr>
          <w:rStyle w:val="Strong"/>
        </w:rPr>
        <w:t>rigid HDPE bottle</w:t>
      </w:r>
      <w:r>
        <w:rPr/>
        <w:t xml:space="preserve"> (widely recycled) to a </w:t>
      </w:r>
      <w:r>
        <w:rPr>
          <w:rStyle w:val="Strong"/>
        </w:rPr>
        <w:t>thin multilayer pouch</w:t>
      </w:r>
      <w:r>
        <w:rPr/>
        <w:t xml:space="preserve"> (not recyclable).  Result: The </w:t>
      </w:r>
      <w:r>
        <w:rPr>
          <w:rStyle w:val="Strong"/>
        </w:rPr>
        <w:t>weight goes down</w:t>
      </w:r>
      <w:r>
        <w:rPr/>
        <w:t xml:space="preserve">, so they meet “source reduction” targets—but the </w:t>
      </w:r>
      <w:r>
        <w:rPr>
          <w:rStyle w:val="Strong"/>
        </w:rPr>
        <w:t>recyclability drops to zero</w:t>
      </w:r>
      <w:r>
        <w:rPr/>
        <w:t xml:space="preserve">, and waste goes up.  </w:t>
        <w:br/>
        <w:br/>
      </w:r>
      <w:r>
        <w:rPr>
          <w:rStyle w:val="Strong"/>
        </w:rPr>
        <w:t>Glass → Plastic:</w:t>
      </w:r>
      <w:r>
        <w:rPr/>
        <w:t xml:space="preserve"> A glass bottle is replaced with PET plastic, reducing weight but increasing microplastic and chemical risks.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20" w:leader="none"/>
        </w:tabs>
        <w:bidi w:val="0"/>
        <w:ind w:hanging="283" w:start="720"/>
        <w:jc w:val="start"/>
        <w:rPr/>
      </w:pPr>
      <w:r>
        <w:rPr>
          <w:rStyle w:val="Strong"/>
        </w:rPr>
        <w:t>Paper → Plastic:</w:t>
      </w:r>
      <w:r>
        <w:rPr/>
        <w:t xml:space="preserve"> A paperboard tray is replaced with a coated plastic container.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20" w:leader="none"/>
        </w:tabs>
        <w:bidi w:val="0"/>
        <w:ind w:hanging="283" w:start="720"/>
        <w:jc w:val="start"/>
        <w:rPr/>
      </w:pPr>
      <w:r>
        <w:rPr>
          <w:rStyle w:val="Strong"/>
        </w:rPr>
        <w:t>Recyclable mono-material → non-recyclable multi-material:</w:t>
      </w:r>
      <w:r>
        <w:rPr/>
        <w:t xml:space="preserve"> e.g., switching from a clear PET clamshell to a laminated film pouch.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Even though PRRIA requires </w:t>
      </w:r>
      <w:r>
        <w:rPr>
          <w:rStyle w:val="Strong"/>
        </w:rPr>
        <w:t>reduction by weight</w:t>
      </w:r>
      <w:r>
        <w:rPr/>
        <w:t xml:space="preserve">, the </w:t>
      </w:r>
      <w:r>
        <w:rPr>
          <w:rStyle w:val="Strong"/>
        </w:rPr>
        <w:t>PRO gets to choose the methods</w:t>
      </w:r>
      <w:r>
        <w:rPr/>
        <w:t>. That means they could: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Switch heavier but recyclable packaging to lighter </w:t>
      </w:r>
      <w:r>
        <w:rPr>
          <w:rStyle w:val="Strong"/>
        </w:rPr>
        <w:t>unrecyclable multilayer</w:t>
      </w:r>
      <w:r>
        <w:rPr/>
        <w:t>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Meet numerical targets while </w:t>
      </w:r>
      <w:r>
        <w:rPr>
          <w:rStyle w:val="Strong"/>
        </w:rPr>
        <w:t>increasing waste</w:t>
      </w:r>
      <w:r>
        <w:rPr/>
        <w:t xml:space="preserve">, </w:t>
      </w:r>
      <w:r>
        <w:rPr>
          <w:rStyle w:val="Strong"/>
        </w:rPr>
        <w:t>harming recycling</w:t>
      </w:r>
      <w:r>
        <w:rPr/>
        <w:t xml:space="preserve">, and </w:t>
      </w:r>
      <w:r>
        <w:rPr>
          <w:rStyle w:val="Strong"/>
        </w:rPr>
        <w:t>locking out reuse</w:t>
      </w:r>
      <w:r>
        <w:rPr/>
        <w:t>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4. Ban on PVC, Polystyrene, and Polycarbonate</w:t>
      </w:r>
      <w:r>
        <w:rPr/>
        <w:br/>
      </w:r>
      <w:r>
        <w:rPr>
          <w:rStyle w:val="Strong"/>
        </w:rPr>
        <w:t>Claimed Strength:</w:t>
      </w:r>
      <w:r>
        <w:rPr/>
        <w:t xml:space="preserve"> Explicit bans go into effect three years after regulation.</w:t>
        <w:br/>
      </w:r>
      <w:r>
        <w:rPr>
          <w:rStyle w:val="Strong"/>
        </w:rPr>
        <w:t>Structural Weakness:</w:t>
      </w:r>
      <w:r>
        <w:rPr/>
        <w:t xml:space="preserve"> Section 27-3417 allows waivers. There's no clause exempting bans from this waiver power—so even PVC could be allowed under claims of “undue hardship” or “no alternatives.”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5. Recycled Content and Recyclability Standards</w:t>
      </w:r>
      <w:r>
        <w:rPr/>
        <w:br/>
      </w:r>
      <w:r>
        <w:rPr>
          <w:rStyle w:val="Strong"/>
        </w:rPr>
        <w:t>Claimed Strength:</w:t>
      </w:r>
      <w:r>
        <w:rPr/>
        <w:t xml:space="preserve"> Sections 27-3429 and 27-3431 require minimum recycled content and functional recyclability.</w:t>
        <w:br/>
      </w:r>
      <w:r>
        <w:rPr>
          <w:rStyle w:val="Strong"/>
        </w:rPr>
        <w:t>Structural Weakness:</w:t>
      </w:r>
      <w:r>
        <w:rPr/>
        <w:t xml:space="preserve"> Data is not required to be made public. Compliance depends on self-reporting to PRO or DEC, with no mechanism for public or independent verification.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6. Eco-Modulated Producer Fees</w:t>
      </w:r>
      <w:r>
        <w:rPr/>
        <w:br/>
      </w:r>
      <w:r>
        <w:rPr>
          <w:rStyle w:val="Strong"/>
        </w:rPr>
        <w:t>Claimed Strength:</w:t>
      </w:r>
      <w:r>
        <w:rPr/>
        <w:t xml:space="preserve"> Section 27-3413 introduces a fee system that penalizes harmful packaging and rewards reuse and recyclability.</w:t>
        <w:br/>
      </w:r>
      <w:r>
        <w:rPr>
          <w:rStyle w:val="Strong"/>
        </w:rPr>
        <w:t>Structural Weakness:</w:t>
      </w:r>
      <w:r>
        <w:rPr/>
        <w:t xml:space="preserve"> The PRO designs the fee structure. If industry-controlled, they can minimize penalties, create loopholes, or give rebates for surface-level changes. No transparency in how fees are calculated or applied.</w:t>
        <w:br/>
        <w:br/>
        <w:t xml:space="preserve">The term </w:t>
      </w:r>
      <w:r>
        <w:rPr>
          <w:rStyle w:val="Strong"/>
        </w:rPr>
        <w:t>“eco-modulation”</w:t>
      </w:r>
      <w:r>
        <w:rPr/>
        <w:t xml:space="preserve"> is </w:t>
      </w:r>
      <w:r>
        <w:rPr>
          <w:rStyle w:val="Strong"/>
        </w:rPr>
        <w:t>not explicitly defined</w:t>
      </w:r>
      <w:r>
        <w:rPr/>
        <w:t xml:space="preserve"> in the bill. However, the section does </w:t>
      </w:r>
      <w:r>
        <w:rPr>
          <w:rStyle w:val="Strong"/>
        </w:rPr>
        <w:t>imply</w:t>
      </w:r>
      <w:r>
        <w:rPr/>
        <w:t xml:space="preserve"> the concept. Here's the relevant portion from </w:t>
      </w:r>
      <w:r>
        <w:rPr>
          <w:rStyle w:val="Strong"/>
        </w:rPr>
        <w:t>§ 27-3413(1)(a)</w:t>
      </w:r>
      <w:r>
        <w:rPr/>
        <w:t>:</w:t>
      </w:r>
    </w:p>
    <w:p>
      <w:pPr>
        <w:pStyle w:val="BlockQuotationuser"/>
        <w:bidi w:val="0"/>
        <w:spacing w:lineRule="auto" w:line="276" w:before="0" w:after="140"/>
        <w:jc w:val="start"/>
        <w:rPr/>
      </w:pPr>
      <w:r>
        <w:rPr>
          <w:rStyle w:val="Emphasis"/>
        </w:rPr>
        <w:t>“</w:t>
      </w:r>
      <w:r>
        <w:rPr>
          <w:rStyle w:val="Emphasis"/>
        </w:rPr>
        <w:t>Such fees shall be structured to reflect the costs of collection, transportation, reuse, recycling, and disposal, and to encourage packaging that is reusable, recyclable, or made with post-consumer recycled content.”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This is the only place where the principle of eco-modulation is indirectly introduced—i.e., structuring fees to </w:t>
      </w:r>
      <w:r>
        <w:rPr>
          <w:rStyle w:val="Strong"/>
        </w:rPr>
        <w:t>incentivize better packaging design</w:t>
      </w:r>
      <w:r>
        <w:rPr/>
        <w:t xml:space="preserve"> and </w:t>
      </w:r>
      <w:r>
        <w:rPr>
          <w:rStyle w:val="Strong"/>
        </w:rPr>
        <w:t>penalize harmful packaging</w:t>
      </w:r>
      <w:r>
        <w:rPr/>
        <w:t>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No clear </w:t>
      </w:r>
      <w:r>
        <w:rPr>
          <w:rStyle w:val="Strong"/>
        </w:rPr>
        <w:t>formula or criteria</w:t>
      </w:r>
      <w:r>
        <w:rPr/>
        <w:t xml:space="preserve"> for how fees are determined.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No guidance on how much more a non-recyclable or toxic package would be charged.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No public </w:t>
      </w:r>
      <w:r>
        <w:rPr>
          <w:rStyle w:val="Strong"/>
        </w:rPr>
        <w:t>transparency requirement</w:t>
      </w:r>
      <w:r>
        <w:rPr/>
        <w:t xml:space="preserve"> for how the PRO or DEC must disclose fee structures or changes.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No mention of a formal </w:t>
      </w:r>
      <w:r>
        <w:rPr>
          <w:rStyle w:val="Strong"/>
        </w:rPr>
        <w:t>eco-modulation framework</w:t>
      </w:r>
      <w:r>
        <w:rPr/>
        <w:t>, methodology, or benchmarks.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  <w:t xml:space="preserve">While eco-modulation is conceptually present, it’s </w:t>
      </w:r>
      <w:r>
        <w:rPr>
          <w:rStyle w:val="Strong"/>
        </w:rPr>
        <w:t>too vague and entirely left to the PRO and DEC to implement</w:t>
      </w:r>
      <w:r>
        <w:rPr/>
        <w:t xml:space="preserve">. If the PRO is industry-led or influenced, they could </w:t>
      </w:r>
      <w:r>
        <w:rPr>
          <w:rStyle w:val="Strong"/>
        </w:rPr>
        <w:t>design fees in a way that protects the status quo</w:t>
      </w:r>
      <w:r>
        <w:rPr/>
        <w:t>, e.g., low penalties for harmful packaging and token rewards for superficial changes.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7. Strict Enforcement and Public Disclosure</w:t>
      </w:r>
      <w:r>
        <w:rPr/>
        <w:br/>
      </w:r>
      <w:r>
        <w:rPr>
          <w:rStyle w:val="Strong"/>
        </w:rPr>
        <w:t>Claimed Strength:</w:t>
      </w:r>
      <w:r>
        <w:rPr/>
        <w:t xml:space="preserve"> Up to $10,000/day fines, annual reports, and a Recycling Inspector General (Section 27-3433).</w:t>
        <w:br/>
      </w:r>
      <w:r>
        <w:rPr>
          <w:rStyle w:val="Strong"/>
        </w:rPr>
        <w:t>Structural Weakness:</w:t>
      </w:r>
      <w:r>
        <w:rPr/>
        <w:t xml:space="preserve"> Inspector General is housed under DEC—not independent. Public reporting is annual and not in machine-readable or detailed form. </w:t>
      </w:r>
      <w:r>
        <w:rPr>
          <w:b/>
          <w:bCs/>
        </w:rPr>
        <w:t>Enforcement data may not be accessible to watchdogs.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8. Single PRO with State Oversight</w:t>
      </w:r>
      <w:r>
        <w:rPr/>
        <w:br/>
      </w:r>
      <w:r>
        <w:rPr>
          <w:rStyle w:val="Strong"/>
        </w:rPr>
        <w:t>Claimed Strength:</w:t>
      </w:r>
      <w:r>
        <w:rPr/>
        <w:t xml:space="preserve"> Only one PRO allowed for 10 years. State has control over implementation. Advisory Council includes EJ, labor, and local gov.</w:t>
        <w:br/>
      </w:r>
      <w:r>
        <w:rPr>
          <w:rStyle w:val="Strong"/>
        </w:rPr>
        <w:t>Structural Weakness:</w:t>
      </w:r>
      <w:r>
        <w:rPr/>
        <w:t xml:space="preserve"> PRO is formed by producers. Advisory Council has no veto power. DEC has exclusive control over funding (Sec. 27-3439), which could block support for BYO, local reuse systems, or progressive ordinances. Industry influence can suppress alternatives that challenge their business model.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>Earlier notes below:</w:t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MEMO: How PRRIA’s Structural Weaknesses Could Undermine Its Apparent Strengths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1. </w:t>
      </w:r>
      <w:r>
        <w:rPr>
          <w:rStyle w:val="Strong"/>
          <w:b/>
          <w:bCs/>
        </w:rPr>
        <w:t>Ban on Toxic Substances (PFAS, bisphenols, phthalates)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Section 27-3425 prohibits intentionally added PFAS and other toxics.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bill does </w:t>
      </w:r>
      <w:r>
        <w:rPr>
          <w:rStyle w:val="Strong"/>
        </w:rPr>
        <w:t>not define PFAS as a class</w:t>
      </w:r>
      <w:r>
        <w:rPr/>
        <w:t xml:space="preserve"> (e.g., “fluorinated organic compounds with one or more fully fluorinated carbon atoms”), leaving room for </w:t>
      </w:r>
      <w:r>
        <w:rPr>
          <w:rStyle w:val="Strong"/>
        </w:rPr>
        <w:t>chemical substitution</w:t>
      </w:r>
      <w:r>
        <w:rPr/>
        <w:t xml:space="preserve"> and </w:t>
      </w:r>
      <w:r>
        <w:rPr>
          <w:rStyle w:val="Strong"/>
        </w:rPr>
        <w:t>polymeric PFAS loopholes</w:t>
      </w:r>
      <w:r>
        <w:rPr/>
        <w:t>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language around </w:t>
      </w:r>
      <w:r>
        <w:rPr>
          <w:rStyle w:val="Strong"/>
        </w:rPr>
        <w:t>“intentionally added”</w:t>
      </w:r>
      <w:r>
        <w:rPr/>
        <w:t xml:space="preserve"> can be manipulated—producers can claim that certain residuals are incidental or part of a manufacturing aid.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No requirement</w:t>
      </w:r>
      <w:r>
        <w:rPr/>
        <w:t xml:space="preserve"> for producers to disclose specific chemicals publicly. Reporting is to DEC and the PRO only. This severely </w:t>
      </w:r>
      <w:r>
        <w:rPr>
          <w:rStyle w:val="Strong"/>
        </w:rPr>
        <w:t>limits watchdog oversight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2. </w:t>
      </w:r>
      <w:r>
        <w:rPr>
          <w:rStyle w:val="Strong"/>
          <w:b/>
          <w:bCs/>
        </w:rPr>
        <w:t>Definition of Disposal (Excludes Chemical Recycling)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Section 27-3401(8) defines disposal to include pyrolysis, gasification, etc.—which excludes them from being classified as recycling.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Even though these processes are </w:t>
      </w:r>
      <w:r>
        <w:rPr>
          <w:rStyle w:val="Strong"/>
        </w:rPr>
        <w:t>not legally defined as recycling</w:t>
      </w:r>
      <w:r>
        <w:rPr/>
        <w:t xml:space="preserve">, the </w:t>
      </w:r>
      <w:r>
        <w:rPr>
          <w:rStyle w:val="Strong"/>
        </w:rPr>
        <w:t>PRO still influences what infrastructure gets built</w:t>
      </w:r>
      <w:r>
        <w:rPr/>
        <w:t>.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If the PRO prioritizes grants or contracts to facilities that </w:t>
      </w:r>
      <w:r>
        <w:rPr>
          <w:rStyle w:val="Strong"/>
        </w:rPr>
        <w:t>perform “molecular conversion”</w:t>
      </w:r>
      <w:r>
        <w:rPr/>
        <w:t xml:space="preserve"> (e.g., pyrolysis branded as “thermal depolymerization”), they can </w:t>
      </w:r>
      <w:r>
        <w:rPr>
          <w:rStyle w:val="Strong"/>
        </w:rPr>
        <w:t>channel money and materials toward it</w:t>
      </w:r>
      <w:r>
        <w:rPr/>
        <w:t>, even if it's technically called disposal.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Proxy</w:t>
      </w:r>
      <w:r>
        <w:rPr/>
        <w:t xml:space="preserve"> means that while the bill doesn't </w:t>
      </w:r>
      <w:r>
        <w:rPr>
          <w:rStyle w:val="Emphasis"/>
        </w:rPr>
        <w:t>call</w:t>
      </w:r>
      <w:r>
        <w:rPr/>
        <w:t xml:space="preserve"> it recycling, </w:t>
      </w:r>
      <w:r>
        <w:rPr>
          <w:rStyle w:val="Strong"/>
        </w:rPr>
        <w:t>funds and logistics</w:t>
      </w:r>
      <w:r>
        <w:rPr/>
        <w:t xml:space="preserve"> could still flow toward these systems through interpretation and loopholes.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3. </w:t>
      </w:r>
      <w:r>
        <w:rPr>
          <w:rStyle w:val="Strong"/>
          <w:b/>
          <w:bCs/>
        </w:rPr>
        <w:t>Source Reduction Mandate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Section 27-3427 sets reduction targets (10%, 15%, 30%).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</w:t>
      </w:r>
      <w:r>
        <w:rPr>
          <w:rStyle w:val="Strong"/>
        </w:rPr>
        <w:t>PRO designs how to meet the target</w:t>
      </w:r>
      <w:r>
        <w:rPr/>
        <w:t xml:space="preserve">, with no required metrics on </w:t>
      </w:r>
      <w:r>
        <w:rPr>
          <w:rStyle w:val="Emphasis"/>
        </w:rPr>
        <w:t>how</w:t>
      </w:r>
      <w:r>
        <w:rPr/>
        <w:t xml:space="preserve"> reduction is achieved.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Producers can: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rStyle w:val="Strong"/>
        </w:rPr>
        <w:t>Weight-light</w:t>
      </w:r>
      <w:r>
        <w:rPr/>
        <w:t>: Make packaging thinner to meet the target by weight, even if it becomes less reusable or less recyclable.</w:t>
        <w:br/>
      </w:r>
      <w:r>
        <w:rPr>
          <w:rStyle w:val="Emphasis"/>
        </w:rPr>
        <w:t>Example:</w:t>
      </w:r>
      <w:r>
        <w:rPr/>
        <w:t xml:space="preserve"> switching a solid PET bottle to a thin multilayer film.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rStyle w:val="Strong"/>
        </w:rPr>
        <w:t>Material substitution</w:t>
      </w:r>
      <w:r>
        <w:rPr/>
        <w:t>: Replace heavier recyclable material (e.g., glass or metal) with lighter non-recyclable plastic.</w:t>
        <w:br/>
      </w:r>
      <w:r>
        <w:rPr>
          <w:rStyle w:val="Emphasis"/>
        </w:rPr>
        <w:t>Example:</w:t>
      </w:r>
      <w:r>
        <w:rPr/>
        <w:t xml:space="preserve"> replacing a glass sauce jar with a multilayer plastic pouch.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rStyle w:val="Strong"/>
        </w:rPr>
        <w:t>Multilayer packaging</w:t>
      </w:r>
      <w:r>
        <w:rPr/>
        <w:t>: Combine different polymers (e.g., PET-PE-foil) to reduce volume, but render it unrecyclable.</w:t>
        <w:br/>
      </w:r>
      <w:r>
        <w:rPr>
          <w:rStyle w:val="Emphasis"/>
        </w:rPr>
        <w:t>Example:</w:t>
      </w:r>
      <w:r>
        <w:rPr/>
        <w:t xml:space="preserve"> shelf-stable food pouches like Capri Sun or granola bags.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These tactics appear as “source reduction” on paper—but </w:t>
      </w:r>
      <w:r>
        <w:rPr>
          <w:rStyle w:val="Strong"/>
        </w:rPr>
        <w:t>increase waste and decrease circularity</w:t>
      </w:r>
      <w:r>
        <w:rPr/>
        <w:t xml:space="preserve"> in practice.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4. </w:t>
      </w:r>
      <w:r>
        <w:rPr>
          <w:rStyle w:val="Strong"/>
          <w:b/>
          <w:bCs/>
        </w:rPr>
        <w:t>Ban on PVC, Polystyrene, Polycarbonate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Ban goes into effect three years post-regulation.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Section 27-3417</w:t>
      </w:r>
      <w:r>
        <w:rPr/>
        <w:t xml:space="preserve"> gives DEC broad waiver authority.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There is </w:t>
      </w:r>
      <w:r>
        <w:rPr>
          <w:rStyle w:val="Strong"/>
        </w:rPr>
        <w:t>no clear restriction</w:t>
      </w:r>
      <w:r>
        <w:rPr/>
        <w:t xml:space="preserve"> stating that bans (like PVC) are exempt from waivers. That means DEC </w:t>
      </w:r>
      <w:r>
        <w:rPr>
          <w:rStyle w:val="Strong"/>
        </w:rPr>
        <w:t>could grant an exemption for PVC packaging</w:t>
      </w:r>
      <w:r>
        <w:rPr/>
        <w:t xml:space="preserve"> under vague justification (e.g., lack of alternatives, supply chain issues).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These waivers are not required to be denied based on </w:t>
      </w:r>
      <w:r>
        <w:rPr>
          <w:rStyle w:val="Strong"/>
        </w:rPr>
        <w:t>toxicity</w:t>
      </w:r>
      <w:r>
        <w:rPr/>
        <w:t>—just “undue hardship” or “lack of feasible alternatives.”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5. </w:t>
      </w:r>
      <w:r>
        <w:rPr>
          <w:rStyle w:val="Strong"/>
          <w:b/>
          <w:bCs/>
        </w:rPr>
        <w:t>Recycled Content and Recyclability Standards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Mandates and standards for materials.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Producer reporting is not public</w:t>
      </w:r>
      <w:r>
        <w:rPr/>
        <w:t xml:space="preserve">. Section 27-3417 requires data submitted to DEC and the PRO, but </w:t>
      </w:r>
      <w:r>
        <w:rPr>
          <w:rStyle w:val="Strong"/>
        </w:rPr>
        <w:t>not published</w:t>
      </w:r>
      <w:r>
        <w:rPr/>
        <w:t>.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Without </w:t>
      </w:r>
      <w:r>
        <w:rPr>
          <w:rStyle w:val="Strong"/>
        </w:rPr>
        <w:t>public disclosure</w:t>
      </w:r>
      <w:r>
        <w:rPr/>
        <w:t>, there’s no way to verify if standards are being met—or if data is being underreported or greenwashed.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6. </w:t>
      </w:r>
      <w:r>
        <w:rPr>
          <w:rStyle w:val="Strong"/>
          <w:b/>
          <w:bCs/>
        </w:rPr>
        <w:t>Eco-Modulated Producer Fees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Harmful packaging pays more.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The PRO is responsible for designing and applying the fee system (</w:t>
      </w:r>
      <w:r>
        <w:rPr>
          <w:rStyle w:val="Strong"/>
        </w:rPr>
        <w:t>Section 27-3413</w:t>
      </w:r>
      <w:r>
        <w:rPr/>
        <w:t>).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If the PRO is </w:t>
      </w:r>
      <w:r>
        <w:rPr>
          <w:rStyle w:val="Strong"/>
        </w:rPr>
        <w:t>industry-dominated</w:t>
      </w:r>
      <w:r>
        <w:rPr/>
        <w:t>, they may: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Apply low fees on common but harmful materials.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Allow </w:t>
      </w:r>
      <w:r>
        <w:rPr>
          <w:rStyle w:val="Strong"/>
        </w:rPr>
        <w:t>exemptions or rebates</w:t>
      </w:r>
      <w:r>
        <w:rPr/>
        <w:t xml:space="preserve"> based on self-declared redesigns.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Reward “easy” changes while ignoring packaging that evades real recovery.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7. </w:t>
      </w:r>
      <w:r>
        <w:rPr>
          <w:rStyle w:val="Strong"/>
          <w:b/>
          <w:bCs/>
        </w:rPr>
        <w:t>Strict Enforcement and Disclosure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$10,000 fines, public reporting, Inspector General.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</w:t>
      </w:r>
      <w:r>
        <w:rPr>
          <w:rStyle w:val="Strong"/>
        </w:rPr>
        <w:t>Inspector General is appointed within DEC</w:t>
      </w:r>
      <w:r>
        <w:rPr/>
        <w:t>, not an independent watchdog.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Reporting is </w:t>
      </w:r>
      <w:r>
        <w:rPr>
          <w:rStyle w:val="Strong"/>
        </w:rPr>
        <w:t>annual</w:t>
      </w:r>
      <w:r>
        <w:rPr/>
        <w:t xml:space="preserve"> and not machine-readable. There’s no mandate to post raw producer-level data.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No guarantee of </w:t>
      </w:r>
      <w:r>
        <w:rPr>
          <w:rStyle w:val="Strong"/>
        </w:rPr>
        <w:t>public access</w:t>
      </w:r>
      <w:r>
        <w:rPr/>
        <w:t xml:space="preserve"> to enforcement actions or waiver approvals.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 xml:space="preserve">8. </w:t>
      </w:r>
      <w:r>
        <w:rPr>
          <w:rStyle w:val="Strong"/>
          <w:b/>
          <w:bCs/>
        </w:rPr>
        <w:t>Single PRO with State Oversight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Claimed Strength:</w:t>
      </w:r>
      <w:r>
        <w:rPr/>
        <w:t xml:space="preserve"> Limits industry fragmentation.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Flaws: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PRO is </w:t>
      </w:r>
      <w:r>
        <w:rPr>
          <w:rStyle w:val="Strong"/>
        </w:rPr>
        <w:t>formed by producers</w:t>
      </w:r>
      <w:r>
        <w:rPr/>
        <w:t>.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DEC does not approve board composition, nor is it required to ensure public-interest majority.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The </w:t>
      </w:r>
      <w:r>
        <w:rPr>
          <w:rStyle w:val="Strong"/>
        </w:rPr>
        <w:t>Advisory Council has no veto power</w:t>
      </w:r>
      <w:r>
        <w:rPr/>
        <w:t>.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Section 27-3439</w:t>
      </w:r>
      <w:r>
        <w:rPr/>
        <w:t xml:space="preserve"> centralizes all funding authority at the state level—</w:t>
      </w:r>
      <w:r>
        <w:rPr>
          <w:rStyle w:val="Strong"/>
        </w:rPr>
        <w:t>blocking local jurisdictions from directing their own reuse or reduction programs</w:t>
      </w:r>
      <w:r>
        <w:rPr/>
        <w:t>.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This structure can be </w:t>
      </w:r>
      <w:r>
        <w:rPr>
          <w:rStyle w:val="Strong"/>
        </w:rPr>
        <w:t>used to suppress BYO</w:t>
      </w:r>
      <w:r>
        <w:rPr/>
        <w:t xml:space="preserve">, decentralized reuse, or local bans by </w:t>
      </w:r>
      <w:r>
        <w:rPr>
          <w:rStyle w:val="Strong"/>
        </w:rPr>
        <w:t>denying funding</w:t>
      </w:r>
      <w:r>
        <w:rPr/>
        <w:t xml:space="preserve"> or refusing to integrate them into the statewide plan.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user">
    <w:name w:val="Block Quotation (user)"/>
    <w:basedOn w:val="Normal"/>
    <w:qFormat/>
    <w:pPr>
      <w:spacing w:before="0" w:after="283"/>
      <w:ind w:hanging="0" w:start="567" w:end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ource-recycling.com/recycling/2025/06/03/stakeholders-weigh-in-on-sb-54-draft-regulations/" TargetMode="External"/><Relationship Id="rId3" Type="http://schemas.openxmlformats.org/officeDocument/2006/relationships/hyperlink" Target="https://www.iso.org/standard/80694.html" TargetMode="External"/><Relationship Id="rId4" Type="http://schemas.openxmlformats.org/officeDocument/2006/relationships/hyperlink" Target="https://www.iso.org/standard/80694.html" TargetMode="External"/><Relationship Id="rId5" Type="http://schemas.openxmlformats.org/officeDocument/2006/relationships/hyperlink" Target="https://www.latimes.com/environment/story/2025-05-30/want-to-understand-calrecycles-proposed-rules-on-chemical-recycling-youll-need-to-buy-a-subscription" TargetMode="External"/><Relationship Id="rId6" Type="http://schemas.openxmlformats.org/officeDocument/2006/relationships/hyperlink" Target="https://plasticmakers.org/news/acc-applauds-introduction-of-the-recycling-technology-innovation-act-to-modernize-recycling/" TargetMode="External"/><Relationship Id="rId7" Type="http://schemas.openxmlformats.org/officeDocument/2006/relationships/hyperlink" Target="https://cen.acs.org/environment/recycling/plastic-recycling-chemical-advanced-fuel-pyrolysis-state-laws/100/i17" TargetMode="External"/><Relationship Id="rId8" Type="http://schemas.openxmlformats.org/officeDocument/2006/relationships/hyperlink" Target="https://www.nrdc.org/bio/renee-sharp/plastics-industrys-latest-deception-mass-balance?" TargetMode="External"/><Relationship Id="rId9" Type="http://schemas.openxmlformats.org/officeDocument/2006/relationships/hyperlink" Target="https://www.propublica.org/article/epa-rejects-mass-balance-plastics-recycling-safer-choice" TargetMode="External"/><Relationship Id="rId10" Type="http://schemas.openxmlformats.org/officeDocument/2006/relationships/hyperlink" Target="https://www.packworld.com/flexibles/article/22954266/2025-outlook-for-the-us-flexible-packaging-industry" TargetMode="External"/><Relationship Id="rId11" Type="http://schemas.openxmlformats.org/officeDocument/2006/relationships/hyperlink" Target="https://www.wastedive.com/news/congressional-hearing-chemical-recycling-packaging-acc-recycling-partnership/753298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 Template</Template>
  <TotalTime>168</TotalTime>
  <Application>LibreOffice/25.2.6.2$Linux_X86_64 LibreOffice_project/520$Build-2</Application>
  <AppVersion>15.0000</AppVersion>
  <Pages>9</Pages>
  <Words>2804</Words>
  <Characters>16447</Characters>
  <CharactersWithSpaces>19075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2025-07-04T12:24:38Z</dcterms:created>
  <dc:creator>Yayoi</dc:creator>
  <dc:description/>
  <dc:language>en-US</dc:language>
  <cp:lastModifiedBy>Yayoi</cp:lastModifiedBy>
  <dcterms:modified xsi:type="dcterms:W3CDTF">2025-12-14T12:56:22Z</dcterms:modified>
  <cp:revision>10</cp:revision>
  <dc:subject/>
  <dc:title>Default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