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rStyle w:val="Emphasis"/>
        </w:rPr>
        <w:t>Why Industry Opposes PRRIA</w:t>
      </w:r>
      <w:r>
        <w:rPr>
          <w:rStyle w:val="Strong"/>
          <w:b/>
          <w:bCs/>
        </w:rPr>
        <w:t>— And Why That Doesn’t Make It a Good Bill</w:t>
      </w:r>
    </w:p>
    <w:p>
      <w:pPr>
        <w:pStyle w:val="BodyText"/>
        <w:bidi w:val="0"/>
        <w:jc w:val="start"/>
        <w:rPr>
          <w:rStyle w:val="Strong"/>
        </w:rPr>
      </w:pPr>
      <w:r>
        <w:rPr/>
      </w:r>
    </w:p>
    <w:p>
      <w:pPr>
        <w:pStyle w:val="BodyText"/>
        <w:bidi w:val="0"/>
        <w:jc w:val="start"/>
        <w:rPr/>
      </w:pPr>
      <w:r>
        <w:rPr>
          <w:rStyle w:val="Strong"/>
        </w:rPr>
        <w:t>Short answer: Industry always fights paying for pollution—but that doesn’t make PRRIA strong. It just means corporations are greedy, and this bill still hands them control.</w:t>
      </w:r>
    </w:p>
    <w:p>
      <w:pPr>
        <w:pStyle w:val="BodyText"/>
        <w:bidi w:val="0"/>
        <w:jc w:val="start"/>
        <w:rPr>
          <w:rStyle w:val="Strong"/>
        </w:rPr>
      </w:pPr>
      <w:r>
        <w:rPr/>
      </w:r>
    </w:p>
    <w:p>
      <w:pPr>
        <w:pStyle w:val="BodyText"/>
        <w:bidi w:val="0"/>
        <w:jc w:val="start"/>
        <w:rPr/>
      </w:pPr>
      <w:r>
        <w:rPr>
          <w:rStyle w:val="Strong"/>
        </w:rPr>
        <w:t>1. Industry always resists accountability</w:t>
      </w:r>
      <w:r>
        <w:rPr/>
        <w:br/>
        <w:t>Corporations—from tobacco to fossil fuels—have a long record of opposing even weak reforms. Opposition is a reflex, not proof of strength. They resist any precedent that says polluters must pay, even if the law is watered down.</w:t>
      </w:r>
    </w:p>
    <w:p>
      <w:pPr>
        <w:pStyle w:val="BodyText"/>
        <w:bidi w:val="0"/>
        <w:jc w:val="start"/>
        <w:rPr/>
      </w:pPr>
      <w:r>
        <w:rPr>
          <w:rStyle w:val="Strong"/>
        </w:rPr>
        <w:t>2. Fights inside industry</w:t>
      </w:r>
      <w:r>
        <w:rPr/>
        <w:br/>
        <w:t xml:space="preserve">Different sectors (plastic, paper, aluminum, consumer brands) don’t agree on how fees should be calculated or who shoulders more cost. Much of the opposition comes from these internal battles, not from the bill being truly tough. (Industry trade groups don’t come out and say: “We’re only against this one detail.” Instead, they issue </w:t>
      </w:r>
      <w:r>
        <w:rPr>
          <w:rStyle w:val="Strong"/>
        </w:rPr>
        <w:t>blanket opposition statements</w:t>
      </w:r>
      <w:r>
        <w:rPr/>
        <w:t xml:space="preserve"> to the bill as a whole. That way they keep leverage in negotiations.)</w:t>
      </w:r>
    </w:p>
    <w:p>
      <w:pPr>
        <w:pStyle w:val="BodyText"/>
        <w:bidi w:val="0"/>
        <w:jc w:val="start"/>
        <w:rPr/>
      </w:pPr>
      <w:r>
        <w:rPr>
          <w:rStyle w:val="Strong"/>
        </w:rPr>
        <w:t>3. Targets, even weak ones, set precedent</w:t>
      </w:r>
      <w:r>
        <w:rPr/>
        <w:br/>
        <w:t xml:space="preserve">PRRIA includes modest reduction and recycling targets. Industry doesn’t want to acknowledge </w:t>
      </w:r>
      <w:r>
        <w:rPr>
          <w:rStyle w:val="Emphasis"/>
        </w:rPr>
        <w:t>any</w:t>
      </w:r>
      <w:r>
        <w:rPr/>
        <w:t xml:space="preserve"> obligation to reduce packaging, fearing it could escalate over time. They’d prefer voluntary goals with no teeth.</w:t>
      </w:r>
    </w:p>
    <w:p>
      <w:pPr>
        <w:pStyle w:val="BodyText"/>
        <w:bidi w:val="0"/>
        <w:jc w:val="start"/>
        <w:rPr/>
      </w:pPr>
      <w:r>
        <w:rPr>
          <w:rStyle w:val="Strong"/>
        </w:rPr>
        <w:t>4. Signal politics</w:t>
      </w:r>
      <w:r>
        <w:rPr/>
        <w:br/>
        <w:t>Companies often posture against bills to send a message: “we won’t accept regulation.” It’s not about the content—it’s about showing toughness to lawmakers and to their trade associations. They don’t want to look like they endorse a bill environmental groups back, even if it’s industry-friendly.</w:t>
      </w:r>
    </w:p>
    <w:p>
      <w:pPr>
        <w:pStyle w:val="BodyText"/>
        <w:bidi w:val="0"/>
        <w:jc w:val="start"/>
        <w:rPr/>
      </w:pPr>
      <w:r>
        <w:rPr>
          <w:rStyle w:val="Strong"/>
        </w:rPr>
        <w:t>5. The real danger of PRRIA</w:t>
      </w:r>
      <w:r>
        <w:rPr/>
        <w:br/>
        <w:t xml:space="preserve">Despite industry’s noise, PRRIA cements a </w:t>
      </w:r>
      <w:r>
        <w:rPr>
          <w:rStyle w:val="Strong"/>
        </w:rPr>
        <w:t>producer-run PRO system</w:t>
      </w:r>
      <w:r>
        <w:rPr/>
        <w:t xml:space="preserve"> in statute, handing governance and money to the very corporations causing the problem. That structure will be almost impossible to undo once written into law. Opposition doesn’t make the bill good—it just shows corporations want even looser terms.</w:t>
      </w:r>
    </w:p>
    <w:p>
      <w:pPr>
        <w:pStyle w:val="BodyText"/>
        <w:bidi w:val="0"/>
        <w:jc w:val="start"/>
        <w:rPr/>
      </w:pPr>
      <w:r>
        <w:rPr>
          <w:rStyle w:val="Strong"/>
        </w:rPr>
        <w:t>Conclusion</w:t>
      </w:r>
      <w:r>
        <w:rPr/>
        <w:br/>
        <w:t>Industry’s opposition is not a sign of progress. It’s a negotiating tactic and a refusal to pay. A truly progressive bill would put power in public hands through a public agency model—not leave corporations in charge of their own regulation.</w:t>
      </w:r>
    </w:p>
    <w:p>
      <w:pPr>
        <w:pStyle w:val="BodyText"/>
        <w:bidi w:val="0"/>
        <w:jc w:val="start"/>
        <w:rPr/>
      </w:pPr>
      <w:r>
        <w:rPr/>
      </w:r>
    </w:p>
    <w:p>
      <w:pPr>
        <w:pStyle w:val="BodyText"/>
        <w:bidi w:val="0"/>
        <w:jc w:val="start"/>
        <w:rPr/>
      </w:pPr>
      <w:r>
        <w:rPr/>
      </w:r>
    </w:p>
    <w:p>
      <w:pPr>
        <w:pStyle w:val="Normal"/>
        <w:rPr>
          <w:b/>
          <w:bCs/>
        </w:rPr>
      </w:pPr>
      <w:r>
        <w:rPr>
          <w:b/>
          <w:bCs/>
        </w:rPr>
        <w:t xml:space="preserve">Historical Examples of Industry Oppositions to Weak Environmental Bills </w:t>
      </w:r>
    </w:p>
    <w:p>
      <w:pPr>
        <w:pStyle w:val="Normal"/>
        <w:rPr>
          <w:b w:val="false"/>
          <w:bCs w:val="false"/>
        </w:rPr>
      </w:pPr>
      <w:r>
        <w:rPr>
          <w:b w:val="false"/>
          <w:bCs w:val="false"/>
        </w:rPr>
      </w:r>
    </w:p>
    <w:p>
      <w:pPr>
        <w:pStyle w:val="HorizontalLine"/>
        <w:rPr/>
      </w:pPr>
      <w:r>
        <w:rPr/>
      </w:r>
    </w:p>
    <w:p>
      <w:pPr>
        <w:pStyle w:val="Heading3"/>
        <w:numPr>
          <w:ilvl w:val="2"/>
          <w:numId w:val="1"/>
        </w:numPr>
        <w:rPr>
          <w:b w:val="false"/>
          <w:bCs w:val="false"/>
        </w:rPr>
      </w:pPr>
      <w:r>
        <w:rPr>
          <w:b w:val="false"/>
          <w:bCs w:val="false"/>
        </w:rPr>
        <w:t>1. Toxic Substances Control Act (TSCA) of 1976</w:t>
      </w:r>
    </w:p>
    <w:p>
      <w:pPr>
        <w:pStyle w:val="BodyText"/>
        <w:numPr>
          <w:ilvl w:val="0"/>
          <w:numId w:val="2"/>
        </w:numPr>
        <w:tabs>
          <w:tab w:val="clear" w:pos="709"/>
          <w:tab w:val="left" w:pos="0" w:leader="none"/>
        </w:tabs>
        <w:ind w:hanging="283" w:start="709"/>
        <w:rPr/>
      </w:pPr>
      <w:r>
        <w:rPr/>
        <w:t xml:space="preserve">This law is widely criticized as </w:t>
      </w:r>
      <w:r>
        <w:rPr>
          <w:rStyle w:val="Strong"/>
        </w:rPr>
        <w:t>ineffective</w:t>
      </w:r>
      <w:r>
        <w:rPr/>
        <w:t xml:space="preserve"> and “toothless” for decades. (</w:t>
      </w:r>
      <w:hyperlink r:id="rId2">
        <w:r>
          <w:rPr>
            <w:rStyle w:val="Hyperlink"/>
          </w:rPr>
          <w:t>Wikipedia</w:t>
        </w:r>
      </w:hyperlink>
      <w:r>
        <w:rPr/>
        <w:t>)</w:t>
      </w:r>
    </w:p>
    <w:p>
      <w:pPr>
        <w:pStyle w:val="BodyText"/>
        <w:numPr>
          <w:ilvl w:val="0"/>
          <w:numId w:val="2"/>
        </w:numPr>
        <w:tabs>
          <w:tab w:val="clear" w:pos="709"/>
          <w:tab w:val="left" w:pos="0" w:leader="none"/>
        </w:tabs>
        <w:ind w:hanging="283" w:start="709"/>
        <w:rPr/>
      </w:pPr>
      <w:r>
        <w:rPr/>
        <w:t>Critiques include: it grandfathered ~62,000 existing chemicals (i.e. allowed them without safety review), placed heavy burdens on EPA to prove “unreasonable risk,” and limited EPA’s ability to require testing. (</w:t>
      </w:r>
      <w:hyperlink r:id="rId3">
        <w:r>
          <w:rPr>
            <w:rStyle w:val="Hyperlink"/>
          </w:rPr>
          <w:t>Wikipedia</w:t>
        </w:r>
      </w:hyperlink>
      <w:r>
        <w:rPr/>
        <w:t>)</w:t>
      </w:r>
    </w:p>
    <w:p>
      <w:pPr>
        <w:pStyle w:val="BodyText"/>
        <w:numPr>
          <w:ilvl w:val="0"/>
          <w:numId w:val="2"/>
        </w:numPr>
        <w:tabs>
          <w:tab w:val="clear" w:pos="709"/>
          <w:tab w:val="left" w:pos="0" w:leader="none"/>
        </w:tabs>
        <w:ind w:hanging="283" w:start="709"/>
        <w:rPr/>
      </w:pPr>
      <w:r>
        <w:rPr/>
        <w:t>Yet the chemical and manufacturing industries still lobbied hard during TSCA’s passage and in subsequent attempts to tighten it—fighting stronger mandates and resisting expanded toxic oversight.</w:t>
      </w:r>
    </w:p>
    <w:p>
      <w:pPr>
        <w:pStyle w:val="BodyText"/>
        <w:rPr/>
      </w:pPr>
      <w:r>
        <w:rPr/>
      </w:r>
    </w:p>
    <w:p>
      <w:pPr>
        <w:pStyle w:val="HorizontalLine"/>
        <w:rPr/>
      </w:pPr>
      <w:r>
        <w:rPr/>
      </w:r>
    </w:p>
    <w:p>
      <w:pPr>
        <w:pStyle w:val="Heading3"/>
        <w:numPr>
          <w:ilvl w:val="2"/>
          <w:numId w:val="1"/>
        </w:numPr>
        <w:rPr>
          <w:b w:val="false"/>
          <w:bCs w:val="false"/>
        </w:rPr>
      </w:pPr>
      <w:r>
        <w:rPr>
          <w:b w:val="false"/>
          <w:bCs w:val="false"/>
        </w:rPr>
        <w:t>2. Clear Skies Act (2003, U.S.)</w:t>
      </w:r>
    </w:p>
    <w:p>
      <w:pPr>
        <w:pStyle w:val="BodyText"/>
        <w:numPr>
          <w:ilvl w:val="0"/>
          <w:numId w:val="3"/>
        </w:numPr>
        <w:tabs>
          <w:tab w:val="clear" w:pos="709"/>
          <w:tab w:val="left" w:pos="0" w:leader="none"/>
        </w:tabs>
        <w:ind w:hanging="283" w:start="709"/>
        <w:rPr/>
      </w:pPr>
      <w:r>
        <w:rPr/>
        <w:t xml:space="preserve">The Clear Skies proposal was pushed by the Bush administration as a market-based alternative to stricter Clean Air Act rules. Critics accused it of </w:t>
      </w:r>
      <w:r>
        <w:rPr>
          <w:rStyle w:val="Strong"/>
        </w:rPr>
        <w:t>weakening</w:t>
      </w:r>
      <w:r>
        <w:rPr/>
        <w:t xml:space="preserve"> air protections (more allowable pollution, delayed standards). (</w:t>
      </w:r>
      <w:hyperlink r:id="rId4">
        <w:r>
          <w:rPr>
            <w:rStyle w:val="Hyperlink"/>
          </w:rPr>
          <w:t>Wikipedia</w:t>
        </w:r>
      </w:hyperlink>
      <w:r>
        <w:rPr/>
        <w:t>)</w:t>
      </w:r>
    </w:p>
    <w:p>
      <w:pPr>
        <w:pStyle w:val="BodyText"/>
        <w:numPr>
          <w:ilvl w:val="0"/>
          <w:numId w:val="3"/>
        </w:numPr>
        <w:tabs>
          <w:tab w:val="clear" w:pos="709"/>
          <w:tab w:val="left" w:pos="0" w:leader="none"/>
        </w:tabs>
        <w:ind w:hanging="283" w:start="709"/>
        <w:rPr/>
      </w:pPr>
      <w:r>
        <w:rPr/>
        <w:t>Environmental groups opposed it harshly; but many power and utility companies also opposed certain provisions especially when tradeoffs would limit flexibility or implicate liability. (</w:t>
      </w:r>
      <w:hyperlink r:id="rId5">
        <w:r>
          <w:rPr>
            <w:rStyle w:val="Hyperlink"/>
          </w:rPr>
          <w:t>Wikipedia</w:t>
        </w:r>
      </w:hyperlink>
      <w:r>
        <w:rPr/>
        <w:t>)</w:t>
      </w:r>
    </w:p>
    <w:p>
      <w:pPr>
        <w:pStyle w:val="BodyText"/>
        <w:numPr>
          <w:ilvl w:val="0"/>
          <w:numId w:val="3"/>
        </w:numPr>
        <w:tabs>
          <w:tab w:val="clear" w:pos="709"/>
          <w:tab w:val="left" w:pos="0" w:leader="none"/>
        </w:tabs>
        <w:ind w:hanging="283" w:start="709"/>
        <w:rPr/>
      </w:pPr>
      <w:r>
        <w:rPr/>
        <w:t>The bill never passed, largely in part because it was viewed as insufficient and too controversial. (</w:t>
      </w:r>
      <w:hyperlink r:id="rId6">
        <w:r>
          <w:rPr>
            <w:rStyle w:val="Hyperlink"/>
          </w:rPr>
          <w:t>Wikipedia</w:t>
        </w:r>
      </w:hyperlink>
      <w:r>
        <w:rPr/>
        <w:t>)</w:t>
      </w:r>
    </w:p>
    <w:p>
      <w:pPr>
        <w:pStyle w:val="BodyText"/>
        <w:rPr/>
      </w:pPr>
      <w:r>
        <w:rPr/>
      </w:r>
    </w:p>
    <w:p>
      <w:pPr>
        <w:pStyle w:val="HorizontalLine"/>
        <w:rPr/>
      </w:pPr>
      <w:r>
        <w:rPr/>
      </w:r>
    </w:p>
    <w:p>
      <w:pPr>
        <w:pStyle w:val="Heading3"/>
        <w:numPr>
          <w:ilvl w:val="2"/>
          <w:numId w:val="1"/>
        </w:numPr>
        <w:rPr>
          <w:b w:val="false"/>
          <w:bCs w:val="false"/>
        </w:rPr>
      </w:pPr>
      <w:r>
        <w:rPr>
          <w:b w:val="false"/>
          <w:bCs w:val="false"/>
        </w:rPr>
        <w:t>3. Attempts to strengthen particulate / PM (soot) standards</w:t>
      </w:r>
    </w:p>
    <w:p>
      <w:pPr>
        <w:pStyle w:val="BodyText"/>
        <w:numPr>
          <w:ilvl w:val="0"/>
          <w:numId w:val="4"/>
        </w:numPr>
        <w:tabs>
          <w:tab w:val="clear" w:pos="709"/>
          <w:tab w:val="left" w:pos="0" w:leader="none"/>
        </w:tabs>
        <w:ind w:hanging="283" w:start="709"/>
        <w:rPr/>
      </w:pPr>
      <w:r>
        <w:rPr/>
        <w:t>When EPA sought to tighten the annual PM₂.₅ (fine particulate) standard (from 12 to 9 µg/m³), business groups pushed back hard, claiming costs would be crippling. (</w:t>
      </w:r>
      <w:hyperlink r:id="rId7">
        <w:r>
          <w:rPr>
            <w:rStyle w:val="Hyperlink"/>
          </w:rPr>
          <w:t>IER</w:t>
        </w:r>
      </w:hyperlink>
      <w:r>
        <w:rPr/>
        <w:t>)</w:t>
      </w:r>
    </w:p>
    <w:p>
      <w:pPr>
        <w:pStyle w:val="BodyText"/>
        <w:numPr>
          <w:ilvl w:val="0"/>
          <w:numId w:val="4"/>
        </w:numPr>
        <w:tabs>
          <w:tab w:val="clear" w:pos="709"/>
          <w:tab w:val="left" w:pos="0" w:leader="none"/>
        </w:tabs>
        <w:ind w:hanging="283" w:start="709"/>
        <w:rPr/>
      </w:pPr>
      <w:r>
        <w:rPr/>
        <w:t>Some industry arguments effectively treated even the modest tightening as “burdensome regulation.” (</w:t>
      </w:r>
      <w:hyperlink r:id="rId8">
        <w:r>
          <w:rPr>
            <w:rStyle w:val="Hyperlink"/>
          </w:rPr>
          <w:t>NAM</w:t>
        </w:r>
      </w:hyperlink>
      <w:r>
        <w:rPr/>
        <w:t>)</w:t>
      </w:r>
    </w:p>
    <w:p>
      <w:pPr>
        <w:pStyle w:val="BodyText"/>
        <w:numPr>
          <w:ilvl w:val="0"/>
          <w:numId w:val="4"/>
        </w:numPr>
        <w:tabs>
          <w:tab w:val="clear" w:pos="709"/>
          <w:tab w:val="left" w:pos="0" w:leader="none"/>
        </w:tabs>
        <w:ind w:hanging="283" w:start="709"/>
        <w:rPr/>
      </w:pPr>
      <w:r>
        <w:rPr/>
        <w:t>Meanwhile, public health advocates argued the standard was still too weak to fully protect vulnerable communities. (</w:t>
      </w:r>
      <w:hyperlink r:id="rId9">
        <w:r>
          <w:rPr>
            <w:rStyle w:val="Hyperlink"/>
          </w:rPr>
          <w:t>EPA</w:t>
        </w:r>
      </w:hyperlink>
      <w:r>
        <w:rPr/>
        <w:t>)</w:t>
      </w:r>
    </w:p>
    <w:p>
      <w:pPr>
        <w:pStyle w:val="BodyText"/>
        <w:numPr>
          <w:ilvl w:val="0"/>
          <w:numId w:val="4"/>
        </w:numPr>
        <w:tabs>
          <w:tab w:val="clear" w:pos="709"/>
          <w:tab w:val="left" w:pos="0" w:leader="none"/>
        </w:tabs>
        <w:ind w:hanging="283" w:start="709"/>
        <w:rPr/>
      </w:pPr>
      <w:r>
        <w:rPr/>
        <w:t xml:space="preserve">EPA finalized the tightened annual PM₂.₅ standard from 12 µg/m³ to 9 µg/m³ in early 2024, after that big wave of industry opposition and public-health pressure. It’s now the official federal standard; industry groups and some states are suing, but they’re challenging a rule that is already on the books, not blocking a proposal. </w:t>
      </w:r>
      <w:r>
        <w:rPr/>
        <w:t>(</w:t>
      </w:r>
      <w:hyperlink r:id="rId10">
        <w:r>
          <w:rPr>
            <w:rStyle w:val="Hyperlink"/>
          </w:rPr>
          <w:t>EPA</w:t>
        </w:r>
      </w:hyperlink>
      <w:r>
        <w:rPr/>
        <w:t>)</w:t>
      </w:r>
    </w:p>
    <w:p>
      <w:pPr>
        <w:pStyle w:val="BodyText"/>
        <w:rPr/>
      </w:pPr>
      <w:r>
        <w:rPr/>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Lohit Devanagari"/>
      <w:b/>
      <w:bCs/>
      <w:sz w:val="28"/>
      <w:szCs w:val="28"/>
    </w:rPr>
  </w:style>
  <w:style w:type="character" w:styleId="Emphasis">
    <w:name w:val="Emphasis"/>
    <w:qFormat/>
    <w:rPr>
      <w:i/>
      <w:iCs/>
    </w:rPr>
  </w:style>
  <w:style w:type="character" w:styleId="Strong">
    <w:name w:val="Strong"/>
    <w:qFormat/>
    <w:rPr>
      <w:b/>
      <w:bCs/>
    </w:rPr>
  </w:style>
  <w:style w:type="character" w:styleId="FollowedHyperlink">
    <w:name w:val="FollowedHyperlink"/>
    <w:rPr>
      <w:color w:val="800000"/>
      <w:u w:val="single"/>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Toxic_Substances_Control_Act_of_1976" TargetMode="External"/><Relationship Id="rId3" Type="http://schemas.openxmlformats.org/officeDocument/2006/relationships/hyperlink" Target="https://en.wikipedia.org/wiki/Toxic_Substances_Control_Act_of_1976" TargetMode="External"/><Relationship Id="rId4" Type="http://schemas.openxmlformats.org/officeDocument/2006/relationships/hyperlink" Target="https://en.wikipedia.org/wiki/Clear_Skies_Act_of_2003" TargetMode="External"/><Relationship Id="rId5" Type="http://schemas.openxmlformats.org/officeDocument/2006/relationships/hyperlink" Target="https://en.wikipedia.org/wiki/Clear_Skies_Act_of_2003" TargetMode="External"/><Relationship Id="rId6" Type="http://schemas.openxmlformats.org/officeDocument/2006/relationships/hyperlink" Target="https://en.wikipedia.org/wiki/Clear_Skies_Act_of_2003" TargetMode="External"/><Relationship Id="rId7" Type="http://schemas.openxmlformats.org/officeDocument/2006/relationships/hyperlink" Target="https://www.instituteforenergyresearch.org/regulation/epa-finalizes-rule-on-particulate-matter-despite-industry-objections/" TargetMode="External"/><Relationship Id="rId8" Type="http://schemas.openxmlformats.org/officeDocument/2006/relationships/hyperlink" Target="https://nam.org/how-new-air-quality-standards-would-burden-manufacturers-29347/" TargetMode="External"/><Relationship Id="rId9" Type="http://schemas.openxmlformats.org/officeDocument/2006/relationships/hyperlink" Target="https://www.epa.gov/newsreleases/epa-finalizes-stronger-standards-harmful-soot-pollution-significantly-increasing" TargetMode="External"/><Relationship Id="rId10" Type="http://schemas.openxmlformats.org/officeDocument/2006/relationships/hyperlink" Target="https://www.epa.gov/pm-pollution/national-ambient-air-quality-standards-naaqs-p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Default Template</Template>
  <TotalTime>102</TotalTime>
  <Application>LibreOffice/25.2.6.2$Linux_X86_64 LibreOffice_project/520$Build-2</Application>
  <AppVersion>15.0000</AppVersion>
  <Pages>2</Pages>
  <Words>647</Words>
  <Characters>3512</Characters>
  <CharactersWithSpaces>4111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2025-09-03T22:00:42Z</dcterms:created>
  <dc:creator>Yayoi</dc:creator>
  <dc:description/>
  <dc:language>en-US</dc:language>
  <cp:lastModifiedBy>Yayoi</cp:lastModifiedBy>
  <dcterms:modified xsi:type="dcterms:W3CDTF">2025-12-06T13:27:10Z</dcterms:modified>
  <cp:revision>4</cp:revision>
  <dc:subject/>
  <dc:title>Default Template</dc:title>
</cp:coreProperties>
</file>

<file path=docProps/custom.xml><?xml version="1.0" encoding="utf-8"?>
<Properties xmlns="http://schemas.openxmlformats.org/officeDocument/2006/custom-properties" xmlns:vt="http://schemas.openxmlformats.org/officeDocument/2006/docPropsVTypes"/>
</file>