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Why New York DEC Cannot Be the Neutral Implementer of Packaging EPR</w:t>
      </w:r>
    </w:p>
    <w:p>
      <w:pPr>
        <w:pStyle w:val="BodyText"/>
        <w:bidi w:val="0"/>
        <w:jc w:val="start"/>
        <w:rPr/>
      </w:pPr>
      <w:r>
        <w:rPr/>
      </w:r>
    </w:p>
    <w:p>
      <w:pPr>
        <w:pStyle w:val="BodyText"/>
        <w:bidi w:val="0"/>
        <w:jc w:val="start"/>
        <w:rPr/>
      </w:pPr>
      <w:r>
        <w:rPr/>
        <w:t xml:space="preserve">2 pagers: </w:t>
      </w:r>
    </w:p>
    <w:p>
      <w:pPr>
        <w:pStyle w:val="Heading2"/>
        <w:numPr>
          <w:ilvl w:val="1"/>
          <w:numId w:val="1"/>
        </w:numPr>
        <w:bidi w:val="0"/>
        <w:spacing w:lineRule="auto" w:line="276" w:before="0" w:after="140"/>
        <w:ind w:hanging="0" w:start="0"/>
        <w:jc w:val="start"/>
        <w:rPr>
          <w:rFonts w:ascii="Liberation Serif" w:hAnsi="Liberation Serif" w:eastAsia="Noto Serif CJK SC"/>
          <w:sz w:val="24"/>
          <w:szCs w:val="24"/>
        </w:rPr>
      </w:pPr>
      <w:r>
        <w:rPr>
          <w:rFonts w:eastAsia="Noto Serif CJK SC" w:ascii="Liberation Serif" w:hAnsi="Liberation Serif"/>
          <w:sz w:val="24"/>
          <w:szCs w:val="24"/>
        </w:rPr>
        <w:t>Why New York DEC Cannot Be the Neutral Implementer of Packaging EPR</w:t>
      </w:r>
    </w:p>
    <w:p>
      <w:pPr>
        <w:pStyle w:val="BodyText"/>
        <w:rPr/>
      </w:pPr>
      <w:r>
        <w:rPr>
          <w:rStyle w:val="Strong"/>
        </w:rPr>
        <w:t>Problem</w:t>
      </w:r>
      <w:r>
        <w:rPr/>
        <w:br/>
        <w:t xml:space="preserve">New York’s Department of Environmental Conservation (DEC) has a long record of regulatory capture and delay. Its structure rewards continuity and secrecy, not precaution. The proposed </w:t>
      </w:r>
      <w:r>
        <w:rPr>
          <w:rStyle w:val="Emphasis"/>
        </w:rPr>
        <w:t>Packaging Reduction and Recycling Infrastructure Act (PREA)</w:t>
      </w:r>
      <w:r>
        <w:rPr/>
        <w:t xml:space="preserve"> would hand implementation to DEC and an industry-run Producer Responsibility Organization (PRO) — repeating the same capture pattern.</w:t>
      </w:r>
    </w:p>
    <w:p>
      <w:pPr>
        <w:pStyle w:val="HorizontalLine"/>
        <w:spacing w:lineRule="auto" w:line="276" w:before="0" w:after="140"/>
        <w:rPr>
          <w:sz w:val="24"/>
          <w:szCs w:val="24"/>
        </w:rPr>
      </w:pPr>
      <w:r>
        <w:rPr>
          <w:sz w:val="24"/>
          <w:szCs w:val="24"/>
        </w:rPr>
      </w:r>
    </w:p>
    <w:p>
      <w:pPr>
        <w:pStyle w:val="BodyText"/>
        <w:rPr/>
      </w:pPr>
      <w:r>
        <w:rPr>
          <w:rStyle w:val="Strong"/>
        </w:rPr>
        <w:t>Evidence of Capture</w:t>
      </w:r>
    </w:p>
    <w:p>
      <w:pPr>
        <w:pStyle w:val="BodyText"/>
        <w:numPr>
          <w:ilvl w:val="0"/>
          <w:numId w:val="8"/>
        </w:numPr>
        <w:tabs>
          <w:tab w:val="clear" w:pos="709"/>
          <w:tab w:val="left" w:pos="0" w:leader="none"/>
        </w:tabs>
        <w:ind w:hanging="283" w:start="709"/>
        <w:rPr/>
      </w:pPr>
      <w:r>
        <w:rPr>
          <w:rStyle w:val="Strong"/>
        </w:rPr>
        <w:t>Permit rollovers:</w:t>
      </w:r>
      <w:r>
        <w:rPr/>
        <w:t xml:space="preserve"> DEC allows landfills and incinerators to keep operating for years under expired permits (“timely and sufficient” rule), undermining accountability.</w:t>
      </w:r>
    </w:p>
    <w:p>
      <w:pPr>
        <w:pStyle w:val="BodyText"/>
        <w:numPr>
          <w:ilvl w:val="0"/>
          <w:numId w:val="8"/>
        </w:numPr>
        <w:tabs>
          <w:tab w:val="clear" w:pos="709"/>
          <w:tab w:val="left" w:pos="0" w:leader="none"/>
        </w:tabs>
        <w:ind w:hanging="283" w:start="709"/>
        <w:rPr/>
      </w:pPr>
      <w:r>
        <w:rPr>
          <w:rStyle w:val="Strong"/>
        </w:rPr>
        <w:t>FOIL delays:</w:t>
      </w:r>
      <w:r>
        <w:rPr/>
        <w:t xml:space="preserve"> New York is among the slowest states for public-records access. Governor Hochul vetoed the 2025 bill that would have sped up FOIL processing, leaving agencies free to withhold documents for months.</w:t>
      </w:r>
    </w:p>
    <w:p>
      <w:pPr>
        <w:pStyle w:val="BodyText"/>
        <w:numPr>
          <w:ilvl w:val="0"/>
          <w:numId w:val="8"/>
        </w:numPr>
        <w:tabs>
          <w:tab w:val="clear" w:pos="709"/>
          <w:tab w:val="left" w:pos="0" w:leader="none"/>
        </w:tabs>
        <w:ind w:hanging="283" w:start="709"/>
        <w:rPr/>
      </w:pPr>
      <w:r>
        <w:rPr>
          <w:rStyle w:val="Strong"/>
        </w:rPr>
        <w:t>Seneca Meadows landfill:</w:t>
      </w:r>
      <w:r>
        <w:rPr/>
        <w:t xml:space="preserve"> DEC continues reviewing an expansion that would extend operations to 2040 despite odor lawsuits under the state’s Green Amendment.</w:t>
      </w:r>
    </w:p>
    <w:p>
      <w:pPr>
        <w:pStyle w:val="BodyText"/>
        <w:numPr>
          <w:ilvl w:val="0"/>
          <w:numId w:val="8"/>
        </w:numPr>
        <w:tabs>
          <w:tab w:val="clear" w:pos="709"/>
          <w:tab w:val="left" w:pos="0" w:leader="none"/>
        </w:tabs>
        <w:ind w:hanging="283" w:start="709"/>
        <w:rPr/>
      </w:pPr>
      <w:r>
        <w:rPr>
          <w:rStyle w:val="Strong"/>
        </w:rPr>
        <w:t>Norlite hazardous-waste kiln:</w:t>
      </w:r>
      <w:r>
        <w:rPr/>
        <w:t xml:space="preserve"> PFAS-laden firefighting foam was burned for years in a low-income neighborhood before public pressure forced a statewide ban.</w:t>
      </w:r>
    </w:p>
    <w:p>
      <w:pPr>
        <w:pStyle w:val="BodyText"/>
        <w:numPr>
          <w:ilvl w:val="0"/>
          <w:numId w:val="8"/>
        </w:numPr>
        <w:tabs>
          <w:tab w:val="clear" w:pos="709"/>
          <w:tab w:val="left" w:pos="0" w:leader="none"/>
        </w:tabs>
        <w:ind w:hanging="283" w:start="709"/>
        <w:rPr/>
      </w:pPr>
      <w:r>
        <w:rPr>
          <w:rStyle w:val="Strong"/>
        </w:rPr>
        <w:t>Covanta Hempstead incinerator:</w:t>
      </w:r>
      <w:r>
        <w:rPr/>
        <w:t xml:space="preserve"> Violations surfaced only after whistleblower exposure; DEC had renewed permits for years.</w:t>
      </w:r>
    </w:p>
    <w:p>
      <w:pPr>
        <w:pStyle w:val="BodyText"/>
        <w:numPr>
          <w:ilvl w:val="0"/>
          <w:numId w:val="8"/>
        </w:numPr>
        <w:tabs>
          <w:tab w:val="clear" w:pos="709"/>
          <w:tab w:val="left" w:pos="0" w:leader="none"/>
        </w:tabs>
        <w:ind w:hanging="283" w:start="709"/>
        <w:rPr/>
      </w:pPr>
      <w:r>
        <w:rPr>
          <w:rStyle w:val="Strong"/>
        </w:rPr>
        <w:t>Sewage-sludge land application:</w:t>
      </w:r>
      <w:r>
        <w:rPr/>
        <w:t xml:space="preserve"> DEC still allows spreading PFAS-contaminated biosolids on farmland while other states impose moratoria.</w:t>
      </w:r>
    </w:p>
    <w:p>
      <w:pPr>
        <w:pStyle w:val="HorizontalLine"/>
        <w:spacing w:lineRule="auto" w:line="276" w:before="0" w:after="140"/>
        <w:rPr>
          <w:sz w:val="24"/>
          <w:szCs w:val="24"/>
        </w:rPr>
      </w:pPr>
      <w:r>
        <w:rPr>
          <w:sz w:val="24"/>
          <w:szCs w:val="24"/>
        </w:rPr>
      </w:r>
    </w:p>
    <w:p>
      <w:pPr>
        <w:pStyle w:val="BodyText"/>
        <w:rPr/>
      </w:pPr>
      <w:r>
        <w:rPr>
          <w:rStyle w:val="Strong"/>
        </w:rPr>
        <w:t>Why PRRIA Worsens the Problem</w:t>
      </w:r>
    </w:p>
    <w:p>
      <w:pPr>
        <w:pStyle w:val="BodyText"/>
        <w:rPr/>
      </w:pPr>
      <w:r>
        <w:rPr/>
        <w:t>PR</w:t>
      </w:r>
      <w:r>
        <w:rPr/>
        <w:t>RI</w:t>
      </w:r>
      <w:r>
        <w:rPr/>
        <w:t xml:space="preserve">A’s so-called </w:t>
      </w:r>
      <w:r>
        <w:rPr>
          <w:rStyle w:val="Emphasis"/>
        </w:rPr>
        <w:t>advisory council</w:t>
      </w:r>
      <w:r>
        <w:rPr/>
        <w:t xml:space="preserve"> has no power — it cannot veto or amend PRO plans and is dominated by industry seats. It functions as decoration, not oversight. Placing this structure under DEC’s control ensures industry influence from both above and below.</w:t>
      </w:r>
    </w:p>
    <w:p>
      <w:pPr>
        <w:pStyle w:val="HorizontalLine"/>
        <w:spacing w:lineRule="auto" w:line="276" w:before="0" w:after="140"/>
        <w:rPr>
          <w:sz w:val="24"/>
          <w:szCs w:val="24"/>
        </w:rPr>
      </w:pPr>
      <w:r>
        <w:rPr>
          <w:sz w:val="24"/>
          <w:szCs w:val="24"/>
        </w:rPr>
      </w:r>
    </w:p>
    <w:p>
      <w:pPr>
        <w:pStyle w:val="BodyText"/>
        <w:rPr/>
      </w:pPr>
      <w:r>
        <w:rPr>
          <w:rStyle w:val="Strong"/>
        </w:rPr>
        <w:t>Structural Changes Required Beyond PRRIA</w:t>
      </w:r>
    </w:p>
    <w:p>
      <w:pPr>
        <w:pStyle w:val="BodyText"/>
        <w:numPr>
          <w:ilvl w:val="0"/>
          <w:numId w:val="9"/>
        </w:numPr>
        <w:tabs>
          <w:tab w:val="clear" w:pos="709"/>
          <w:tab w:val="left" w:pos="0" w:leader="none"/>
        </w:tabs>
        <w:ind w:hanging="283" w:start="709"/>
        <w:rPr/>
      </w:pPr>
      <w:r>
        <w:rPr>
          <w:rStyle w:val="Strong"/>
        </w:rPr>
        <w:t>Create a public agency model</w:t>
      </w:r>
      <w:r>
        <w:rPr/>
        <w:br/>
        <w:t xml:space="preserve">Establish a </w:t>
      </w:r>
      <w:r>
        <w:rPr>
          <w:rStyle w:val="Strong"/>
        </w:rPr>
        <w:t>Department of Public Resource Stewardship</w:t>
      </w:r>
      <w:r>
        <w:rPr/>
        <w:t xml:space="preserve"> with full rulemaking and enforcement authority over packaging reduction, reuse, and recycling—independent from both DEC and industry.</w:t>
      </w:r>
    </w:p>
    <w:p>
      <w:pPr>
        <w:pStyle w:val="BodyText"/>
        <w:numPr>
          <w:ilvl w:val="0"/>
          <w:numId w:val="9"/>
        </w:numPr>
        <w:tabs>
          <w:tab w:val="clear" w:pos="709"/>
          <w:tab w:val="left" w:pos="0" w:leader="none"/>
        </w:tabs>
        <w:ind w:hanging="283" w:start="709"/>
        <w:rPr/>
      </w:pPr>
      <w:r>
        <w:rPr>
          <w:rStyle w:val="Strong"/>
        </w:rPr>
        <w:t>Public oversight for DEC</w:t>
      </w:r>
      <w:r>
        <w:rPr/>
        <w:br/>
        <w:t xml:space="preserve">Form a </w:t>
      </w:r>
      <w:r>
        <w:rPr>
          <w:rStyle w:val="Strong"/>
        </w:rPr>
        <w:t>seven-member public-interest board</w:t>
      </w:r>
      <w:r>
        <w:rPr/>
        <w:t xml:space="preserve"> (modeled on Maine’s Board of Environmental Protection) to review DEC permits and EPR actions.</w:t>
      </w:r>
    </w:p>
    <w:p>
      <w:pPr>
        <w:pStyle w:val="BodyText"/>
        <w:numPr>
          <w:ilvl w:val="0"/>
          <w:numId w:val="9"/>
        </w:numPr>
        <w:tabs>
          <w:tab w:val="clear" w:pos="709"/>
          <w:tab w:val="left" w:pos="0" w:leader="none"/>
        </w:tabs>
        <w:ind w:hanging="283" w:start="709"/>
        <w:rPr/>
      </w:pPr>
      <w:r>
        <w:rPr>
          <w:rStyle w:val="Strong"/>
        </w:rPr>
        <w:t>FOIL-plus transparency</w:t>
      </w:r>
      <w:r>
        <w:rPr/>
        <w:br/>
        <w:t>Mandate public posting of all producer data, contracts, and audits within 30 days. Pass the vetoed FOIL-reform bill to guarantee timely disclosure.</w:t>
      </w:r>
    </w:p>
    <w:p>
      <w:pPr>
        <w:pStyle w:val="BodyText"/>
        <w:numPr>
          <w:ilvl w:val="0"/>
          <w:numId w:val="9"/>
        </w:numPr>
        <w:tabs>
          <w:tab w:val="clear" w:pos="709"/>
          <w:tab w:val="left" w:pos="0" w:leader="none"/>
        </w:tabs>
        <w:ind w:hanging="283" w:start="709"/>
        <w:rPr/>
      </w:pPr>
      <w:r>
        <w:rPr>
          <w:rStyle w:val="Strong"/>
        </w:rPr>
        <w:t>End permit rollovers</w:t>
      </w:r>
      <w:r>
        <w:rPr/>
        <w:br/>
        <w:t>Eliminate “timely and sufficient” extensions; require automatic suspension of facility or PRO authority when deadlines, audits, or reduction targets are missed.</w:t>
      </w:r>
    </w:p>
    <w:p>
      <w:pPr>
        <w:pStyle w:val="BodyText"/>
        <w:numPr>
          <w:ilvl w:val="0"/>
          <w:numId w:val="9"/>
        </w:numPr>
        <w:tabs>
          <w:tab w:val="clear" w:pos="709"/>
          <w:tab w:val="left" w:pos="0" w:leader="none"/>
        </w:tabs>
        <w:ind w:hanging="283" w:start="709"/>
        <w:rPr/>
      </w:pPr>
      <w:r>
        <w:rPr>
          <w:rStyle w:val="Strong"/>
        </w:rPr>
        <w:t>Prohibit industry control</w:t>
      </w:r>
      <w:r>
        <w:rPr/>
        <w:br/>
        <w:t>Exclude PROs, vendors, and for-profit contractors from advisory or rulemaking roles; require conflict-of-interest disclosure for all staff and board members.</w:t>
      </w:r>
    </w:p>
    <w:p>
      <w:pPr>
        <w:pStyle w:val="BodyText"/>
        <w:numPr>
          <w:ilvl w:val="0"/>
          <w:numId w:val="9"/>
        </w:numPr>
        <w:tabs>
          <w:tab w:val="clear" w:pos="709"/>
          <w:tab w:val="left" w:pos="0" w:leader="none"/>
        </w:tabs>
        <w:ind w:hanging="283" w:start="709"/>
        <w:rPr/>
      </w:pPr>
      <w:r>
        <w:rPr>
          <w:rStyle w:val="Strong"/>
        </w:rPr>
        <w:t>Phase out PROs entirely</w:t>
      </w:r>
      <w:r>
        <w:rPr/>
        <w:br/>
        <w:t>Replace private Producer Responsibility Organizations with a publicly accountable agency model.</w:t>
      </w:r>
    </w:p>
    <w:p>
      <w:pPr>
        <w:pStyle w:val="HorizontalLine"/>
        <w:spacing w:lineRule="auto" w:line="276" w:before="0" w:after="140"/>
        <w:rPr>
          <w:sz w:val="24"/>
          <w:szCs w:val="24"/>
        </w:rPr>
      </w:pPr>
      <w:r>
        <w:rPr>
          <w:sz w:val="24"/>
          <w:szCs w:val="24"/>
        </w:rPr>
      </w:r>
    </w:p>
    <w:p>
      <w:pPr>
        <w:pStyle w:val="BodyText"/>
        <w:rPr/>
      </w:pPr>
      <w:r>
        <w:rPr>
          <w:rStyle w:val="Strong"/>
        </w:rPr>
        <w:t>Bottom Line</w:t>
      </w:r>
      <w:r>
        <w:rPr/>
        <w:br/>
        <w:t>New York cannot build trustworthy packaging policy atop a captured regulator. Real reform requires structural independence, transparency, and public control—otherwise EPR will entrench the same failures that define DEC’s record today.</w:t>
      </w:r>
    </w:p>
    <w:p>
      <w:pPr>
        <w:pStyle w:val="HorizontalLine"/>
        <w:spacing w:lineRule="auto" w:line="276" w:before="0" w:after="140"/>
        <w:rPr>
          <w:sz w:val="24"/>
          <w:szCs w:val="24"/>
        </w:rPr>
      </w:pPr>
      <w:r>
        <w:rPr>
          <w:sz w:val="24"/>
          <w:szCs w:val="24"/>
        </w:rPr>
      </w:r>
    </w:p>
    <w:p>
      <w:pPr>
        <w:pStyle w:val="BodyText"/>
        <w:rPr/>
      </w:pPr>
      <w:r>
        <w:rPr/>
      </w:r>
    </w:p>
    <w:p>
      <w:pPr>
        <w:pStyle w:val="BodyText"/>
        <w:bidi w:val="0"/>
        <w:jc w:val="start"/>
        <w:rPr/>
      </w:pPr>
      <w:r>
        <w:rPr/>
      </w:r>
    </w:p>
    <w:p>
      <w:pPr>
        <w:pStyle w:val="BodyText"/>
        <w:bidi w:val="0"/>
        <w:jc w:val="start"/>
        <w:rPr/>
      </w:pPr>
      <w:r>
        <w:rPr/>
      </w:r>
      <w:r>
        <w:br w:type="page"/>
      </w:r>
    </w:p>
    <w:p>
      <w:pPr>
        <w:pStyle w:val="BodyText"/>
        <w:bidi w:val="0"/>
        <w:spacing w:before="0" w:after="140"/>
        <w:jc w:val="start"/>
        <w:rPr/>
      </w:pPr>
      <w:r>
        <w:rPr/>
      </w:r>
    </w:p>
    <w:p>
      <w:pPr>
        <w:pStyle w:val="BodyText"/>
        <w:bidi w:val="0"/>
        <w:jc w:val="start"/>
        <w:rPr/>
      </w:pPr>
      <w:r>
        <w:rPr/>
        <w:t xml:space="preserve">Longer version with sources: </w:t>
      </w:r>
    </w:p>
    <w:p>
      <w:pPr>
        <w:pStyle w:val="Heading1"/>
        <w:bidi w:val="0"/>
        <w:spacing w:before="0" w:after="0"/>
        <w:jc w:val="start"/>
        <w:rPr>
          <w:vanish/>
          <w:specVanish/>
        </w:rPr>
      </w:pPr>
      <w:r>
        <w:rPr/>
        <w:t>Problem statement</w:t>
      </w:r>
    </w:p>
    <w:p>
      <w:pPr>
        <w:pStyle w:val="BodyText"/>
        <w:bidi w:val="0"/>
        <w:jc w:val="start"/>
        <w:rPr/>
      </w:pPr>
      <w:r/>
      <w:r>
        <w:rPr/>
      </w:r>
      <w:r>
        <w:rPr/>
        <w:br/>
      </w:r>
    </w:p>
    <w:p>
      <w:pPr>
        <w:pStyle w:val="BodyText"/>
        <w:bidi w:val="0"/>
        <w:jc w:val="start"/>
        <w:rPr/>
      </w:pPr>
      <w:r>
        <w:rPr/>
        <w:t xml:space="preserve">New York’s Department of Environmental Conservation (DEC) is structurally prone to regulatory capture. Its permitting framework, transparency posture, and decision-making processes allow prolonged operation of controversial facilities and slow public oversight. Packaging EPR would place DEC in close, ongoing coordination with a producer-run PRO. Without independent checks, the program will predictably tilt toward industry convenience, not public interest. </w:t>
      </w:r>
    </w:p>
    <w:p>
      <w:pPr>
        <w:pStyle w:val="Heading2"/>
        <w:numPr>
          <w:ilvl w:val="1"/>
          <w:numId w:val="1"/>
        </w:numPr>
        <w:bidi w:val="0"/>
        <w:ind w:hanging="0" w:start="0"/>
        <w:jc w:val="start"/>
        <w:rPr/>
      </w:pPr>
      <w:r>
        <w:rPr/>
        <w:t>Structural Weaknesses</w:t>
      </w:r>
    </w:p>
    <w:p>
      <w:pPr>
        <w:pStyle w:val="BodyText"/>
        <w:numPr>
          <w:ilvl w:val="0"/>
          <w:numId w:val="3"/>
        </w:numPr>
        <w:tabs>
          <w:tab w:val="left" w:pos="709" w:leader="none"/>
        </w:tabs>
        <w:bidi w:val="0"/>
        <w:ind w:hanging="283" w:start="709"/>
        <w:jc w:val="start"/>
        <w:rPr/>
      </w:pPr>
      <w:r>
        <w:rPr/>
        <w:t>Permit rollovers that keep status quo in place</w:t>
        <w:br/>
        <w:t xml:space="preserve">Under New York’s Uniform Procedures Act and DEC practice, “existing permits remain in effect while DEC considers a renewal application.” This “timely and sufficient” loophole lets landfills, incinerators, and hazardous-waste facilities operate for years pending renewals, dulling leverage to correct harms. That is a textbook capture-enabling structure. (See: </w:t>
      </w:r>
      <w:hyperlink r:id="rId2">
        <w:r>
          <w:rPr>
            <w:rStyle w:val="Hyperlink"/>
          </w:rPr>
          <w:t>Department of Environmental Conservation</w:t>
        </w:r>
      </w:hyperlink>
      <w:r>
        <w:rPr/>
        <w:t>)</w:t>
      </w:r>
    </w:p>
    <w:p>
      <w:pPr>
        <w:pStyle w:val="BodyText"/>
        <w:numPr>
          <w:ilvl w:val="0"/>
          <w:numId w:val="3"/>
        </w:numPr>
        <w:tabs>
          <w:tab w:val="left" w:pos="709" w:leader="none"/>
        </w:tabs>
        <w:bidi w:val="0"/>
        <w:ind w:hanging="283" w:start="709"/>
        <w:jc w:val="start"/>
        <w:rPr/>
      </w:pPr>
      <w:r>
        <w:rPr/>
        <w:t>Transparency failure (FOIL)</w:t>
        <w:br/>
        <w:t>New York is already among the slowest states on public records. In October 2025, Governor Hochul vetoed S2520-B—the best shot at faster FOIL responses—despite promising a “new era of transparency.” Agencies remain able to run the clock, filter disclosures, and bury the paper trail the public needs to police EPR. (</w:t>
      </w:r>
      <w:hyperlink r:id="rId3">
        <w:r>
          <w:rPr>
            <w:rStyle w:val="Hyperlink"/>
          </w:rPr>
          <w:t>New York Focus</w:t>
        </w:r>
      </w:hyperlink>
      <w:r>
        <w:rPr/>
        <w:t>)</w:t>
      </w:r>
    </w:p>
    <w:p>
      <w:pPr>
        <w:pStyle w:val="BodyText"/>
        <w:numPr>
          <w:ilvl w:val="0"/>
          <w:numId w:val="3"/>
        </w:numPr>
        <w:tabs>
          <w:tab w:val="left" w:pos="709" w:leader="none"/>
        </w:tabs>
        <w:bidi w:val="0"/>
        <w:ind w:hanging="283" w:start="709"/>
        <w:jc w:val="start"/>
        <w:rPr/>
      </w:pPr>
      <w:r>
        <w:rPr/>
        <w:t>DEC’s track record on high-conflict waste sites</w:t>
      </w:r>
    </w:p>
    <w:p>
      <w:pPr>
        <w:pStyle w:val="BodyText"/>
        <w:numPr>
          <w:ilvl w:val="0"/>
          <w:numId w:val="4"/>
        </w:numPr>
        <w:tabs>
          <w:tab w:val="left" w:pos="709" w:leader="none"/>
        </w:tabs>
        <w:bidi w:val="0"/>
        <w:ind w:hanging="283" w:start="709"/>
        <w:jc w:val="start"/>
        <w:rPr/>
      </w:pPr>
      <w:r>
        <w:rPr/>
        <w:t>Seneca Meadows landfill: DEC is actively reviewing a renewal and 47-acre expansion that could extend operations to 2040; the facility is simultaneously the subject of odor litigation invoking New York’s Green Amendment. The dynamic—lengthy review, ongoing nuisance impacts, and potential long extensions—reflects weak structural checks. (</w:t>
      </w:r>
      <w:hyperlink r:id="rId4">
        <w:r>
          <w:rPr>
            <w:rStyle w:val="Hyperlink"/>
          </w:rPr>
          <w:t>Finger Lakes Daily News</w:t>
        </w:r>
      </w:hyperlink>
      <w:r>
        <w:rPr/>
        <w:t>)</w:t>
      </w:r>
    </w:p>
    <w:p>
      <w:pPr>
        <w:pStyle w:val="BodyText"/>
        <w:numPr>
          <w:ilvl w:val="0"/>
          <w:numId w:val="4"/>
        </w:numPr>
        <w:tabs>
          <w:tab w:val="left" w:pos="709" w:leader="none"/>
        </w:tabs>
        <w:bidi w:val="0"/>
        <w:ind w:hanging="283" w:start="709"/>
        <w:jc w:val="start"/>
        <w:rPr/>
      </w:pPr>
      <w:r>
        <w:rPr/>
        <w:t>Covanta Hempstead: DEC ultimately found significant ash-handling violations—after years of operation and a whistleblower-driven probe. Catch-up enforcement is not the same as prevention; EPR needs the latter. (</w:t>
      </w:r>
      <w:hyperlink r:id="rId5">
        <w:r>
          <w:rPr>
            <w:rStyle w:val="Hyperlink"/>
          </w:rPr>
          <w:t>Department of Environmental Conservation</w:t>
        </w:r>
      </w:hyperlink>
      <w:r>
        <w:rPr/>
        <w:t>)</w:t>
      </w:r>
    </w:p>
    <w:p>
      <w:pPr>
        <w:pStyle w:val="BodyText"/>
        <w:numPr>
          <w:ilvl w:val="0"/>
          <w:numId w:val="4"/>
        </w:numPr>
        <w:tabs>
          <w:tab w:val="left" w:pos="709" w:leader="none"/>
        </w:tabs>
        <w:bidi w:val="0"/>
        <w:ind w:hanging="283" w:start="709"/>
        <w:jc w:val="start"/>
        <w:rPr/>
      </w:pPr>
      <w:r>
        <w:rPr/>
        <w:t>Norlite hazardous-waste kiln (AFFF/PFAS burning): Public outcry and a statewide ban followed revelations of PFAS-laden foam incineration near housing. Yet under DEC’s renewal-pending rule, the facility’s permit status persisted. The design again favors continuity over precaution. (</w:t>
      </w:r>
      <w:hyperlink r:id="rId6">
        <w:r>
          <w:rPr>
            <w:rStyle w:val="Hyperlink"/>
          </w:rPr>
          <w:t>WAMC</w:t>
        </w:r>
      </w:hyperlink>
      <w:r>
        <w:rPr/>
        <w:t>)</w:t>
      </w:r>
    </w:p>
    <w:p>
      <w:pPr>
        <w:pStyle w:val="BodyText"/>
        <w:numPr>
          <w:ilvl w:val="0"/>
          <w:numId w:val="4"/>
        </w:numPr>
        <w:tabs>
          <w:tab w:val="left" w:pos="709" w:leader="none"/>
        </w:tabs>
        <w:bidi w:val="0"/>
        <w:ind w:hanging="283" w:start="709"/>
        <w:jc w:val="start"/>
        <w:rPr/>
      </w:pPr>
      <w:r>
        <w:rPr/>
        <w:t>CLCPA compliance gaps: In 2025, community groups sued DEC over renewing a gas-plant permit they argue conflicts with New York’s climate law. If DEC struggles to align air permits with the CLCPA, it is unreasonable to expect rigorous, independent steering of a packaging PRO. (</w:t>
      </w:r>
      <w:hyperlink r:id="rId7">
        <w:r>
          <w:rPr>
            <w:rStyle w:val="Hyperlink"/>
          </w:rPr>
          <w:t>Earthjustice</w:t>
        </w:r>
      </w:hyperlink>
      <w:r>
        <w:rPr/>
        <w:t>)</w:t>
      </w:r>
    </w:p>
    <w:p>
      <w:pPr>
        <w:pStyle w:val="BodyText"/>
        <w:numPr>
          <w:ilvl w:val="0"/>
          <w:numId w:val="5"/>
        </w:numPr>
        <w:tabs>
          <w:tab w:val="left" w:pos="709" w:leader="none"/>
        </w:tabs>
        <w:bidi w:val="0"/>
        <w:ind w:hanging="283" w:start="709"/>
        <w:jc w:val="start"/>
        <w:rPr/>
      </w:pPr>
      <w:r>
        <w:rPr/>
        <w:t>Biosolids (sewage sludge) as a current capture warning sign</w:t>
        <w:br/>
        <w:t>DEC policy continues to rely on “beneficial use” and land application of biosolids while PFAS science and farm contamination cases mount. The agency issued an interim PFAS memo but not binding, protective PFAS limits in biosolids; lawmakers are now pushing a moratorium. This is a live example of industry-aligned inertia that would map directly onto PRO-designed recycling claims, labeling, and fee formulas. (</w:t>
      </w:r>
      <w:hyperlink r:id="rId8">
        <w:r>
          <w:rPr>
            <w:rStyle w:val="Hyperlink"/>
          </w:rPr>
          <w:t>Department of Environmental Conservation</w:t>
        </w:r>
      </w:hyperlink>
      <w:r>
        <w:rPr/>
        <w:t>)</w:t>
      </w:r>
    </w:p>
    <w:p>
      <w:pPr>
        <w:pStyle w:val="BodyText"/>
        <w:numPr>
          <w:ilvl w:val="0"/>
          <w:numId w:val="0"/>
        </w:numPr>
        <w:bidi w:val="0"/>
        <w:ind w:hanging="0" w:start="0"/>
        <w:jc w:val="start"/>
        <w:rPr/>
      </w:pPr>
      <w:r>
        <w:rPr/>
      </w:r>
    </w:p>
    <w:p>
      <w:pPr>
        <w:pStyle w:val="Heading2"/>
        <w:numPr>
          <w:ilvl w:val="0"/>
          <w:numId w:val="0"/>
        </w:numPr>
        <w:bidi w:val="0"/>
        <w:spacing w:before="0" w:after="0"/>
        <w:ind w:hanging="0" w:start="0"/>
        <w:jc w:val="start"/>
        <w:rPr>
          <w:vanish/>
          <w:specVanish/>
        </w:rPr>
      </w:pPr>
      <w:r>
        <w:rPr/>
        <w:t>Contrast: Maine’s oversight model</w:t>
      </w:r>
    </w:p>
    <w:p>
      <w:pPr>
        <w:pStyle w:val="BodyText"/>
        <w:bidi w:val="0"/>
        <w:jc w:val="start"/>
        <w:rPr/>
      </w:pPr>
      <w:r>
        <w:rPr/>
      </w:r>
    </w:p>
    <w:p>
      <w:pPr>
        <w:pStyle w:val="BodyText"/>
        <w:bidi w:val="0"/>
        <w:jc w:val="start"/>
        <w:rPr/>
      </w:pPr>
      <w:r>
        <w:rPr/>
        <w:t>Maine’s packaging EPR rules are set by t</w:t>
      </w:r>
      <w:r>
        <w:rPr>
          <w:b/>
          <w:bCs/>
        </w:rPr>
        <w:t>he Board of Environmental Protection (BEP)</w:t>
      </w:r>
      <w:r>
        <w:rPr/>
        <w:t>—a seven-member body appointed by the Governor, confirmed by the Legislature, and statutorily charged to represent the “</w:t>
      </w:r>
      <w:r>
        <w:rPr>
          <w:i/>
          <w:iCs/>
        </w:rPr>
        <w:t>broadest possible public interest.</w:t>
      </w:r>
      <w:r>
        <w:rPr/>
        <w:t>” The BEP, not an industry council, adopted the implementing rules in public. That design inserts an independent, public-interest gate at the rulemaking choke-point New York currently lacks. (</w:t>
      </w:r>
      <w:hyperlink r:id="rId9">
        <w:r>
          <w:rPr>
            <w:rStyle w:val="Hyperlink"/>
          </w:rPr>
          <w:t>Maine State Legislature</w:t>
        </w:r>
      </w:hyperlink>
      <w:r>
        <w:rPr/>
        <w:t>)</w:t>
      </w:r>
    </w:p>
    <w:p>
      <w:pPr>
        <w:pStyle w:val="BodyText"/>
        <w:bidi w:val="0"/>
        <w:jc w:val="start"/>
        <w:rPr>
          <w:b/>
          <w:bCs/>
        </w:rPr>
      </w:pPr>
      <w:r>
        <w:rPr>
          <w:b/>
          <w:bCs/>
        </w:rPr>
        <w:t>Implication for New York packaging EPR</w:t>
      </w:r>
    </w:p>
    <w:p>
      <w:pPr>
        <w:pStyle w:val="BodyText"/>
        <w:bidi w:val="0"/>
        <w:jc w:val="start"/>
        <w:rPr/>
      </w:pPr>
      <w:r>
        <w:rPr/>
        <w:t>If New York vests day-to-day EPR implementation in DEC plus a producer-run organization, the state is recreating the same capture pattern we see in solid waste, hazardous waste, and sludge:</w:t>
      </w:r>
    </w:p>
    <w:p>
      <w:pPr>
        <w:pStyle w:val="BodyText"/>
        <w:numPr>
          <w:ilvl w:val="0"/>
          <w:numId w:val="6"/>
        </w:numPr>
        <w:tabs>
          <w:tab w:val="left" w:pos="709" w:leader="none"/>
        </w:tabs>
        <w:bidi w:val="0"/>
        <w:ind w:hanging="283" w:start="709"/>
        <w:jc w:val="start"/>
        <w:rPr/>
      </w:pPr>
      <w:r>
        <w:rPr/>
        <w:t>Long permitting tails keep harmful status quo in place (the PRO benefits from delay and deference). (</w:t>
      </w:r>
      <w:hyperlink r:id="rId10">
        <w:r>
          <w:rPr>
            <w:rStyle w:val="Hyperlink"/>
          </w:rPr>
          <w:t>Justia Law</w:t>
        </w:r>
      </w:hyperlink>
      <w:r>
        <w:rPr/>
        <w:t>)</w:t>
      </w:r>
    </w:p>
    <w:p>
      <w:pPr>
        <w:pStyle w:val="BodyText"/>
        <w:numPr>
          <w:ilvl w:val="0"/>
          <w:numId w:val="6"/>
        </w:numPr>
        <w:tabs>
          <w:tab w:val="left" w:pos="709" w:leader="none"/>
        </w:tabs>
        <w:bidi w:val="0"/>
        <w:ind w:hanging="283" w:start="709"/>
        <w:jc w:val="start"/>
        <w:rPr/>
      </w:pPr>
      <w:r>
        <w:rPr/>
        <w:t>FOIL delays block sunlight on fee models, cost pass-throughs, vendor selection, and performance data. (</w:t>
      </w:r>
      <w:hyperlink r:id="rId11">
        <w:r>
          <w:rPr>
            <w:rStyle w:val="Hyperlink"/>
          </w:rPr>
          <w:t>The Imprint</w:t>
        </w:r>
      </w:hyperlink>
      <w:r>
        <w:rPr/>
        <w:t>)</w:t>
      </w:r>
    </w:p>
    <w:p>
      <w:pPr>
        <w:pStyle w:val="BodyText"/>
        <w:numPr>
          <w:ilvl w:val="0"/>
          <w:numId w:val="6"/>
        </w:numPr>
        <w:tabs>
          <w:tab w:val="left" w:pos="709" w:leader="none"/>
        </w:tabs>
        <w:bidi w:val="0"/>
        <w:ind w:hanging="283" w:start="709"/>
        <w:jc w:val="start"/>
        <w:rPr/>
      </w:pPr>
      <w:r>
        <w:rPr/>
        <w:t>When problems surface (toxics, sham recycling, nuisance impacts), DEC’s track record shows late enforcement rather than upstream prevention. (</w:t>
      </w:r>
      <w:hyperlink r:id="rId12">
        <w:r>
          <w:rPr>
            <w:rStyle w:val="Hyperlink"/>
          </w:rPr>
          <w:t>Department of Environmental Conservation</w:t>
        </w:r>
      </w:hyperlink>
      <w:r>
        <w:rPr/>
        <w:t>)</w:t>
      </w:r>
    </w:p>
    <w:p>
      <w:pPr>
        <w:pStyle w:val="Heading3"/>
        <w:bidi w:val="0"/>
        <w:jc w:val="start"/>
        <w:rPr/>
      </w:pPr>
      <w:r>
        <w:rPr/>
        <w:t>What the bill must add (and what must change structurally)</w:t>
      </w:r>
    </w:p>
    <w:p>
      <w:pPr>
        <w:pStyle w:val="BodyText"/>
        <w:numPr>
          <w:ilvl w:val="0"/>
          <w:numId w:val="7"/>
        </w:numPr>
        <w:tabs>
          <w:tab w:val="left" w:pos="709" w:leader="none"/>
        </w:tabs>
        <w:bidi w:val="0"/>
        <w:ind w:hanging="283" w:start="709"/>
        <w:jc w:val="start"/>
        <w:rPr/>
      </w:pPr>
      <w:r>
        <w:rPr>
          <w:rStyle w:val="Strong"/>
        </w:rPr>
        <w:t>Replace the PRO-DEC scheme with a public agency model.</w:t>
      </w:r>
      <w:r>
        <w:rPr/>
        <w:br/>
        <w:t xml:space="preserve">New York must create a </w:t>
      </w:r>
      <w:r>
        <w:rPr>
          <w:rStyle w:val="Strong"/>
        </w:rPr>
        <w:t>Department of Public Resource Stewardship</w:t>
      </w:r>
      <w:r>
        <w:rPr/>
        <w:t xml:space="preserve"> or equivalent independent public agency with full rulemaking and enforcement power over packaging reduction, reuse, and recycling—</w:t>
      </w:r>
      <w:r>
        <w:rPr>
          <w:rStyle w:val="Emphasis"/>
        </w:rPr>
        <w:t>not</w:t>
      </w:r>
      <w:r>
        <w:rPr/>
        <w:t xml:space="preserve"> a producer-run organization under DEC supervision. The agency must be 100 percent publicly governed, transparent, and accountable to the Legislature and the public.</w:t>
      </w:r>
    </w:p>
    <w:p>
      <w:pPr>
        <w:pStyle w:val="BodyText"/>
        <w:numPr>
          <w:ilvl w:val="0"/>
          <w:numId w:val="7"/>
        </w:numPr>
        <w:tabs>
          <w:tab w:val="left" w:pos="709" w:leader="none"/>
        </w:tabs>
        <w:bidi w:val="0"/>
        <w:ind w:hanging="283" w:start="709"/>
        <w:jc w:val="start"/>
        <w:rPr/>
      </w:pPr>
      <w:r>
        <w:rPr>
          <w:rStyle w:val="Strong"/>
        </w:rPr>
        <w:t>Public-interest oversight for both the new agency and DEC.</w:t>
      </w:r>
      <w:r>
        <w:rPr/>
        <w:br/>
        <w:t xml:space="preserve">The agency should include a </w:t>
      </w:r>
      <w:r>
        <w:rPr>
          <w:rStyle w:val="Strong"/>
        </w:rPr>
        <w:t>seven-member public-interest board</w:t>
      </w:r>
      <w:r>
        <w:rPr/>
        <w:t>, appointed and confirmed in the same manner as Maine’s BEP, representing the broadest public interest rather than industry.</w:t>
        <w:br/>
        <w:t>DEC itself must also be subject to an external oversight board to review major permit, enforcement, and EPR-related decisions, addressing its pattern of regulatory capture and lack of transparency.</w:t>
      </w:r>
    </w:p>
    <w:p>
      <w:pPr>
        <w:pStyle w:val="BodyText"/>
        <w:numPr>
          <w:ilvl w:val="0"/>
          <w:numId w:val="7"/>
        </w:numPr>
        <w:tabs>
          <w:tab w:val="left" w:pos="709" w:leader="none"/>
        </w:tabs>
        <w:bidi w:val="0"/>
        <w:ind w:hanging="283" w:start="709"/>
        <w:jc w:val="start"/>
        <w:rPr/>
      </w:pPr>
      <w:r>
        <w:rPr>
          <w:rStyle w:val="Strong"/>
        </w:rPr>
        <w:t>FOIL-plus transparency and open data.</w:t>
      </w:r>
      <w:r>
        <w:rPr/>
        <w:br/>
        <w:t>All producer submissions, contracts, audit reports, and enforcement actions must be published within 30 days of receipt.</w:t>
        <w:br/>
        <w:t>The Legislature must also pass the separate FOIL-reform bill vetoed by Governor Hochul to guarantee timely disclosure. Without reforming FOIL, no EPR transparency provision will function in practice.</w:t>
      </w:r>
    </w:p>
    <w:p>
      <w:pPr>
        <w:pStyle w:val="BodyText"/>
        <w:numPr>
          <w:ilvl w:val="0"/>
          <w:numId w:val="7"/>
        </w:numPr>
        <w:tabs>
          <w:tab w:val="left" w:pos="709" w:leader="none"/>
        </w:tabs>
        <w:bidi w:val="0"/>
        <w:ind w:hanging="283" w:start="709"/>
        <w:jc w:val="start"/>
        <w:rPr/>
      </w:pPr>
      <w:r>
        <w:rPr>
          <w:rStyle w:val="Strong"/>
        </w:rPr>
        <w:t>No permit rollover for PROs, plans, or facilities.</w:t>
      </w:r>
      <w:r>
        <w:rPr/>
        <w:br/>
        <w:t>End the “timely and sufficient” clause that allows permits and PRO plans to stay active indefinitely during renewal or review. Set hard statutory deadlines with automatic suspension of authority or reimbursements when data, audits, or toxicity-reduction requirements are missed.</w:t>
      </w:r>
    </w:p>
    <w:p>
      <w:pPr>
        <w:pStyle w:val="BodyText"/>
        <w:numPr>
          <w:ilvl w:val="0"/>
          <w:numId w:val="7"/>
        </w:numPr>
        <w:tabs>
          <w:tab w:val="left" w:pos="709" w:leader="none"/>
        </w:tabs>
        <w:bidi w:val="0"/>
        <w:ind w:hanging="283" w:start="709"/>
        <w:jc w:val="start"/>
        <w:rPr/>
      </w:pPr>
      <w:r>
        <w:rPr>
          <w:rStyle w:val="Strong"/>
        </w:rPr>
        <w:t>Ban industry control over rulemaking and advisory panels.</w:t>
      </w:r>
      <w:r>
        <w:rPr/>
        <w:br/>
        <w:t>PROs, vendors, and any for-profit service contractors must be excluded from advisory or rulemaking seats. All conflict-of-interest declarations must be public.</w:t>
      </w:r>
    </w:p>
    <w:p>
      <w:pPr>
        <w:pStyle w:val="BodyText"/>
        <w:numPr>
          <w:ilvl w:val="0"/>
          <w:numId w:val="7"/>
        </w:numPr>
        <w:tabs>
          <w:tab w:val="left" w:pos="709" w:leader="none"/>
        </w:tabs>
        <w:bidi w:val="0"/>
        <w:ind w:hanging="283" w:start="709"/>
        <w:jc w:val="start"/>
        <w:rPr/>
      </w:pPr>
      <w:r>
        <w:rPr>
          <w:rStyle w:val="Strong"/>
        </w:rPr>
        <w:t>Phase out the PRO model entirely.</w:t>
      </w:r>
      <w:r>
        <w:rPr/>
        <w:br/>
        <w:t>Producer Responsibility Organizations are inherently unaccountable private bodies. New York should not entrust public waste governance to an industry entity. A publicly chartered agency, not a nonprofit PRO, should manage packaging reduction and reuse programs directly.</w:t>
      </w:r>
    </w:p>
    <w:p>
      <w:pPr>
        <w:pStyle w:val="BodyText"/>
        <w:bidi w:val="0"/>
        <w:jc w:val="start"/>
        <w:rPr/>
      </w:pPr>
      <w:r>
        <w:rPr/>
      </w:r>
    </w:p>
    <w:p>
      <w:pPr>
        <w:pStyle w:val="Heading2"/>
        <w:numPr>
          <w:ilvl w:val="1"/>
          <w:numId w:val="1"/>
        </w:numPr>
        <w:bidi w:val="0"/>
        <w:ind w:hanging="0" w:start="0"/>
        <w:jc w:val="start"/>
        <w:rPr/>
      </w:pPr>
      <w:r>
        <w:rPr/>
        <w:t>Bottom line</w:t>
        <w:br/>
      </w:r>
    </w:p>
    <w:p>
      <w:pPr>
        <w:pStyle w:val="BodyText"/>
        <w:bidi w:val="0"/>
        <w:jc w:val="start"/>
        <w:rPr/>
      </w:pPr>
      <w:r>
        <w:rPr/>
        <w:t>New York DEC’s current structure rewards continuity, opacity, and post-hoc enforcement. That is precisely the wrong posture for supervising a producer-run EPR system that will govern fees, materials, toxics, and market power. If lawmakers want EPR that serves the public, they must legislate independent oversight and hard transparency—up front—rather than hoping DEC can resist the same capture pressures it faces elsewhere.</w:t>
      </w:r>
    </w:p>
    <w:p>
      <w:pPr>
        <w:pStyle w:val="Heading1"/>
        <w:bidi w:val="0"/>
        <w:jc w:val="start"/>
        <w:rPr/>
      </w:pPr>
      <w:r>
        <w:rPr/>
        <w:t xml:space="preserve">Sources: </w:t>
      </w:r>
    </w:p>
    <w:p>
      <w:pPr>
        <w:pStyle w:val="BodyText"/>
        <w:bidi w:val="0"/>
        <w:jc w:val="start"/>
        <w:rPr/>
      </w:pPr>
      <w:r>
        <w:rPr/>
      </w:r>
    </w:p>
    <w:p>
      <w:pPr>
        <w:pStyle w:val="BodyText"/>
        <w:numPr>
          <w:ilvl w:val="0"/>
          <w:numId w:val="2"/>
        </w:numPr>
        <w:tabs>
          <w:tab w:val="left" w:pos="709" w:leader="none"/>
        </w:tabs>
        <w:bidi w:val="0"/>
        <w:ind w:hanging="283" w:start="709"/>
        <w:jc w:val="start"/>
        <w:rPr/>
      </w:pPr>
      <w:r>
        <w:rPr/>
        <w:t xml:space="preserve">Hochul vetoed FOIL-speed bill S2520-B on Oct 10, 2025; NY Focus recap Oct 20, 2025: </w:t>
      </w:r>
      <w:hyperlink r:id="rId13">
        <w:r>
          <w:rPr>
            <w:rStyle w:val="Hyperlink"/>
          </w:rPr>
          <w:t>https://nysfocus.com/2025/10/20/hochul-foil-transparency-veto</w:t>
        </w:r>
      </w:hyperlink>
      <w:r>
        <w:rPr/>
        <w:t xml:space="preserve"> (</w:t>
      </w:r>
      <w:hyperlink r:id="rId14">
        <w:r>
          <w:rPr>
            <w:rStyle w:val="Hyperlink"/>
          </w:rPr>
          <w:t>New York Focus</w:t>
        </w:r>
      </w:hyperlink>
      <w:r>
        <w:rPr/>
        <w:t xml:space="preserve">) and Imprint update: </w:t>
      </w:r>
      <w:hyperlink r:id="rId15">
        <w:r>
          <w:rPr>
            <w:rStyle w:val="Hyperlink"/>
          </w:rPr>
          <w:t>https://imprintnews.org/top-stories/new-york-lawmakers-hope-to-speed-responses-to-public-records-requests/267394</w:t>
        </w:r>
      </w:hyperlink>
      <w:r>
        <w:rPr/>
        <w:t xml:space="preserve"> (update notes the veto). (</w:t>
      </w:r>
      <w:hyperlink r:id="rId16">
        <w:r>
          <w:rPr>
            <w:rStyle w:val="Hyperlink"/>
          </w:rPr>
          <w:t>The Imprint</w:t>
        </w:r>
      </w:hyperlink>
      <w:r>
        <w:rPr/>
        <w:t>)</w:t>
      </w:r>
    </w:p>
    <w:p>
      <w:pPr>
        <w:pStyle w:val="BodyText"/>
        <w:numPr>
          <w:ilvl w:val="0"/>
          <w:numId w:val="2"/>
        </w:numPr>
        <w:tabs>
          <w:tab w:val="left" w:pos="709" w:leader="none"/>
        </w:tabs>
        <w:bidi w:val="0"/>
        <w:ind w:hanging="283" w:start="709"/>
        <w:jc w:val="start"/>
        <w:rPr/>
      </w:pPr>
      <w:r>
        <w:rPr/>
        <w:t xml:space="preserve">DEC “permit stays in effect while renewal is pending” (the structural rollover): DEC’s Norlite page; see the sentence stating existing permits remain in effect during renewal. </w:t>
      </w:r>
      <w:hyperlink r:id="rId17">
        <w:r>
          <w:rPr>
            <w:rStyle w:val="Hyperlink"/>
          </w:rPr>
          <w:t>https://dec.ny.gov/environmental-protection/waste-management/hazardous-waste/norlite-llc</w:t>
        </w:r>
      </w:hyperlink>
      <w:r>
        <w:rPr/>
        <w:t xml:space="preserve"> (</w:t>
      </w:r>
      <w:hyperlink r:id="rId18">
        <w:r>
          <w:rPr>
            <w:rStyle w:val="Hyperlink"/>
          </w:rPr>
          <w:t>Department of Environmental Conservation</w:t>
        </w:r>
      </w:hyperlink>
      <w:r>
        <w:rPr/>
        <w:t xml:space="preserve">) and ECL Article 70 (Uniform Procedures Act) on renewals. </w:t>
      </w:r>
      <w:hyperlink r:id="rId19">
        <w:r>
          <w:rPr>
            <w:rStyle w:val="Hyperlink"/>
          </w:rPr>
          <w:t>https://law.justia.com/codes/new-york/env/article-70/70-0115/</w:t>
        </w:r>
      </w:hyperlink>
      <w:r>
        <w:rPr/>
        <w:t xml:space="preserve"> (</w:t>
      </w:r>
      <w:hyperlink r:id="rId20">
        <w:r>
          <w:rPr>
            <w:rStyle w:val="Hyperlink"/>
          </w:rPr>
          <w:t>Justia Law</w:t>
        </w:r>
      </w:hyperlink>
      <w:r>
        <w:rPr/>
        <w:t>)</w:t>
      </w:r>
    </w:p>
    <w:p>
      <w:pPr>
        <w:pStyle w:val="BodyText"/>
        <w:numPr>
          <w:ilvl w:val="0"/>
          <w:numId w:val="2"/>
        </w:numPr>
        <w:tabs>
          <w:tab w:val="left" w:pos="709" w:leader="none"/>
        </w:tabs>
        <w:bidi w:val="0"/>
        <w:ind w:hanging="283" w:start="709"/>
        <w:jc w:val="start"/>
        <w:rPr/>
      </w:pPr>
      <w:r>
        <w:rPr/>
        <w:t xml:space="preserve">Norlite AFFF/PFAS burning controversy and subsequent state ban signed by Gov. Cuomo (context for capture risk): </w:t>
      </w:r>
      <w:hyperlink r:id="rId21">
        <w:r>
          <w:rPr>
            <w:rStyle w:val="Hyperlink"/>
          </w:rPr>
          <w:t>https://www.wamc.org/capital-region-news/2021-02-11/as-nysdec-warns-norlite-environmentalists-fault-dec-over-pfas-at-norlite</w:t>
        </w:r>
      </w:hyperlink>
      <w:r>
        <w:rPr/>
        <w:t xml:space="preserve"> (</w:t>
      </w:r>
      <w:hyperlink r:id="rId22">
        <w:r>
          <w:rPr>
            <w:rStyle w:val="Hyperlink"/>
          </w:rPr>
          <w:t>WAMC</w:t>
        </w:r>
      </w:hyperlink>
      <w:r>
        <w:rPr/>
        <w:t>)</w:t>
      </w:r>
    </w:p>
    <w:p>
      <w:pPr>
        <w:pStyle w:val="BodyText"/>
        <w:numPr>
          <w:ilvl w:val="0"/>
          <w:numId w:val="2"/>
        </w:numPr>
        <w:tabs>
          <w:tab w:val="left" w:pos="709" w:leader="none"/>
        </w:tabs>
        <w:bidi w:val="0"/>
        <w:ind w:hanging="283" w:start="709"/>
        <w:jc w:val="start"/>
        <w:rPr/>
      </w:pPr>
      <w:r>
        <w:rPr/>
        <w:t xml:space="preserve">Seneca Meadows expansion/renewal (possible extension to 2040 if approved); DEC still reviewing in 2025; DEC sent 66 new questions, Oct 16, 2025: </w:t>
      </w:r>
      <w:hyperlink r:id="rId23">
        <w:r>
          <w:rPr>
            <w:rStyle w:val="Hyperlink"/>
          </w:rPr>
          <w:t>https://www.fingerlakesdailynews.com/local/ontario-seneca-wayne/dec-sends-seneca-meadows-66-new-questions-on-expansion-proposal/</w:t>
        </w:r>
      </w:hyperlink>
      <w:r>
        <w:rPr/>
        <w:t xml:space="preserve"> and local coverage Aug 27, 2025: </w:t>
      </w:r>
      <w:hyperlink r:id="rId24">
        <w:r>
          <w:rPr>
            <w:rStyle w:val="Hyperlink"/>
          </w:rPr>
          <w:t>https://www.whec.com/top-news/overwhelming-stench-seneca-county-residents-push-back-against-landfill/</w:t>
        </w:r>
      </w:hyperlink>
      <w:r>
        <w:rPr/>
        <w:t xml:space="preserve"> (</w:t>
      </w:r>
      <w:hyperlink r:id="rId25">
        <w:r>
          <w:rPr>
            <w:rStyle w:val="Hyperlink"/>
          </w:rPr>
          <w:t>Finger Lakes Daily News</w:t>
        </w:r>
      </w:hyperlink>
      <w:r>
        <w:rPr/>
        <w:t>)</w:t>
      </w:r>
    </w:p>
    <w:p>
      <w:pPr>
        <w:pStyle w:val="BodyText"/>
        <w:numPr>
          <w:ilvl w:val="0"/>
          <w:numId w:val="2"/>
        </w:numPr>
        <w:tabs>
          <w:tab w:val="left" w:pos="709" w:leader="none"/>
        </w:tabs>
        <w:bidi w:val="0"/>
        <w:ind w:hanging="283" w:start="709"/>
        <w:jc w:val="start"/>
        <w:rPr/>
      </w:pPr>
      <w:r>
        <w:rPr/>
        <w:t xml:space="preserve">Lawsuit over Seneca Meadows odors citing constitutional right to clean air; names DEC: </w:t>
      </w:r>
      <w:hyperlink r:id="rId26">
        <w:r>
          <w:rPr>
            <w:rStyle w:val="Hyperlink"/>
          </w:rPr>
          <w:t>https://waterfrontonline.blog/2024/03/25/lawsuit-against-seneca-meadows-dec-seeks-to-block-landfills-expansion-over-odors-that-violate-green-amendment/</w:t>
        </w:r>
      </w:hyperlink>
      <w:r>
        <w:rPr/>
        <w:t xml:space="preserve"> and 2025 slip opinion reference: </w:t>
      </w:r>
      <w:hyperlink r:id="rId27">
        <w:r>
          <w:rPr>
            <w:rStyle w:val="Hyperlink"/>
          </w:rPr>
          <w:t>https://law.justia.com/cases/new-york/other-courts/2025/2025-ny-slip-op-31034-u.html</w:t>
        </w:r>
      </w:hyperlink>
      <w:r>
        <w:rPr/>
        <w:t xml:space="preserve"> (</w:t>
      </w:r>
      <w:hyperlink r:id="rId28">
        <w:r>
          <w:rPr>
            <w:rStyle w:val="Hyperlink"/>
          </w:rPr>
          <w:t>waterfrontonline.blog</w:t>
        </w:r>
      </w:hyperlink>
      <w:r>
        <w:rPr/>
        <w:t>)</w:t>
      </w:r>
    </w:p>
    <w:p>
      <w:pPr>
        <w:pStyle w:val="BodyText"/>
        <w:numPr>
          <w:ilvl w:val="0"/>
          <w:numId w:val="2"/>
        </w:numPr>
        <w:tabs>
          <w:tab w:val="left" w:pos="709" w:leader="none"/>
        </w:tabs>
        <w:bidi w:val="0"/>
        <w:ind w:hanging="283" w:start="709"/>
        <w:jc w:val="start"/>
        <w:rPr/>
      </w:pPr>
      <w:r>
        <w:rPr/>
        <w:t xml:space="preserve">DEC found significant violations at Covanta Hempstead after records review; media follow-up tied to a whistleblower: DEC press release </w:t>
      </w:r>
      <w:hyperlink r:id="rId29">
        <w:r>
          <w:rPr>
            <w:rStyle w:val="Hyperlink"/>
          </w:rPr>
          <w:t>https://dec.ny.gov/news/press-releases/2024/2/dec-review-of-historic-ash-management-practices-finds-violations-at-covanta-hempstead-resource-recovery-facility</w:t>
        </w:r>
      </w:hyperlink>
      <w:r>
        <w:rPr/>
        <w:t xml:space="preserve"> and Newsday/KM note: </w:t>
      </w:r>
      <w:hyperlink r:id="rId30">
        <w:r>
          <w:rPr>
            <w:rStyle w:val="Hyperlink"/>
          </w:rPr>
          <w:t>https://www.kmllp.com/news/newsday-reports-on-dec-probe-showing-covanta-violated-state-environmental-law-in-practices-brought-to-light-by-km-whistleblower-case</w:t>
        </w:r>
      </w:hyperlink>
      <w:r>
        <w:rPr/>
        <w:t xml:space="preserve"> (</w:t>
      </w:r>
      <w:hyperlink r:id="rId31">
        <w:r>
          <w:rPr>
            <w:rStyle w:val="Hyperlink"/>
          </w:rPr>
          <w:t>Department of Environmental Conservation</w:t>
        </w:r>
      </w:hyperlink>
      <w:r>
        <w:rPr/>
        <w:t>)</w:t>
      </w:r>
    </w:p>
    <w:p>
      <w:pPr>
        <w:pStyle w:val="BodyText"/>
        <w:numPr>
          <w:ilvl w:val="0"/>
          <w:numId w:val="2"/>
        </w:numPr>
        <w:tabs>
          <w:tab w:val="left" w:pos="709" w:leader="none"/>
        </w:tabs>
        <w:bidi w:val="0"/>
        <w:ind w:hanging="283" w:start="709"/>
        <w:jc w:val="start"/>
        <w:rPr/>
      </w:pPr>
      <w:r>
        <w:rPr/>
        <w:t xml:space="preserve">Earthjustice suit: DEC approved Caithness gas plant permit renewal alleged to violate CLCPA: </w:t>
      </w:r>
      <w:hyperlink r:id="rId32">
        <w:r>
          <w:rPr>
            <w:rStyle w:val="Hyperlink"/>
          </w:rPr>
          <w:t>https://earthjustice.org/press/2025/groups-file-lawsuit-against-nys-dec-and-caithness-gas-plant-for-clcpa-violations</w:t>
        </w:r>
      </w:hyperlink>
      <w:r>
        <w:rPr/>
        <w:t xml:space="preserve"> (</w:t>
      </w:r>
      <w:hyperlink r:id="rId33">
        <w:r>
          <w:rPr>
            <w:rStyle w:val="Hyperlink"/>
          </w:rPr>
          <w:t>Earthjustice</w:t>
        </w:r>
      </w:hyperlink>
      <w:r>
        <w:rPr/>
        <w:t>)</w:t>
      </w:r>
    </w:p>
    <w:p>
      <w:pPr>
        <w:pStyle w:val="BodyText"/>
        <w:numPr>
          <w:ilvl w:val="0"/>
          <w:numId w:val="2"/>
        </w:numPr>
        <w:tabs>
          <w:tab w:val="left" w:pos="709" w:leader="none"/>
        </w:tabs>
        <w:bidi w:val="0"/>
        <w:ind w:hanging="283" w:start="709"/>
        <w:jc w:val="start"/>
        <w:rPr/>
      </w:pPr>
      <w:r>
        <w:rPr/>
        <w:t xml:space="preserve">DEC biosolids policy &amp; interim PFAS posture; push for land application continues amid PFAS concerns and calls for a moratorium: DEC biosolids page </w:t>
      </w:r>
      <w:hyperlink r:id="rId34">
        <w:r>
          <w:rPr>
            <w:rStyle w:val="Hyperlink"/>
          </w:rPr>
          <w:t>https://dec.ny.gov/environmental-protection/recycling-composting/organic-materials-management/technologies/biosolids-management</w:t>
        </w:r>
      </w:hyperlink>
      <w:r>
        <w:rPr/>
        <w:t xml:space="preserve"> ; DEC interim memo (PFAS in biosolids) </w:t>
      </w:r>
      <w:hyperlink r:id="rId35">
        <w:r>
          <w:rPr>
            <w:rStyle w:val="Hyperlink"/>
          </w:rPr>
          <w:t>https://extapps.dec.ny.gov/docs/materials_minerals_pdf/dmm7.pdf</w:t>
        </w:r>
      </w:hyperlink>
      <w:r>
        <w:rPr/>
        <w:t xml:space="preserve"> ; moratorium push: </w:t>
      </w:r>
      <w:hyperlink r:id="rId36">
        <w:r>
          <w:rPr>
            <w:rStyle w:val="Hyperlink"/>
          </w:rPr>
          <w:t>https://www.nysenate.gov/newsroom/press-releases/2025/pete-harckham/legislators-advocates-and-farmers-call-ban-toxic-sewage</w:t>
        </w:r>
      </w:hyperlink>
      <w:r>
        <w:rPr/>
        <w:t xml:space="preserve"> ; critical coverage: </w:t>
      </w:r>
      <w:hyperlink r:id="rId37">
        <w:r>
          <w:rPr>
            <w:rStyle w:val="Hyperlink"/>
          </w:rPr>
          <w:t>https://www.thenewlede.org/2025/08/how-can-this-happen-fight-over-sewage-sludge-on-farms-intensifies/</w:t>
        </w:r>
      </w:hyperlink>
      <w:r>
        <w:rPr/>
        <w:t xml:space="preserve"> (</w:t>
      </w:r>
      <w:hyperlink r:id="rId38">
        <w:r>
          <w:rPr>
            <w:rStyle w:val="Hyperlink"/>
          </w:rPr>
          <w:t>Department of Environmental Conservation</w:t>
        </w:r>
      </w:hyperlink>
      <w:r>
        <w:rPr/>
        <w:t>)</w:t>
      </w:r>
    </w:p>
    <w:p>
      <w:pPr>
        <w:pStyle w:val="BodyText"/>
        <w:numPr>
          <w:ilvl w:val="0"/>
          <w:numId w:val="2"/>
        </w:numPr>
        <w:tabs>
          <w:tab w:val="left" w:pos="709" w:leader="none"/>
        </w:tabs>
        <w:bidi w:val="0"/>
        <w:ind w:hanging="283" w:start="709"/>
        <w:jc w:val="start"/>
        <w:rPr/>
      </w:pPr>
      <w:r>
        <w:rPr/>
        <w:t xml:space="preserve">Maine contrast (who makes the rules): Maine’s 7-member Board of Environmental Protection (BEP) is appointed by the Governor, confirmed by the Legislature, and “must be chosen to represent the broadest possible public interest.” Statute: </w:t>
      </w:r>
      <w:hyperlink r:id="rId39">
        <w:r>
          <w:rPr>
            <w:rStyle w:val="Hyperlink"/>
          </w:rPr>
          <w:t>https://www.mainelegislature.org/legis/statutes/38/title38ch2.pdf</w:t>
        </w:r>
      </w:hyperlink>
      <w:r>
        <w:rPr/>
        <w:t xml:space="preserve"> ; BEP adopted the packaging EPR rules Dec 6, 2024: </w:t>
      </w:r>
      <w:hyperlink r:id="rId40">
        <w:r>
          <w:rPr>
            <w:rStyle w:val="Hyperlink"/>
          </w:rPr>
          <w:t>https://www.packagingdive.com/news/maine-adopts-final-rules-extended-producer-responsibility-packaging/734870/</w:t>
        </w:r>
      </w:hyperlink>
      <w:r>
        <w:rPr/>
        <w:t xml:space="preserve"> ; program statute: </w:t>
      </w:r>
      <w:hyperlink r:id="rId41">
        <w:r>
          <w:rPr>
            <w:rStyle w:val="Hyperlink"/>
          </w:rPr>
          <w:t>https://legislature.maine.gov/statutes/38/title38sec2146.html</w:t>
        </w:r>
      </w:hyperlink>
      <w:r>
        <w:rPr/>
        <w:t xml:space="preserve"> (</w:t>
      </w:r>
      <w:hyperlink r:id="rId42">
        <w:r>
          <w:rPr>
            <w:rStyle w:val="Hyperlink"/>
          </w:rPr>
          <w:t>Maine State Legislature</w:t>
        </w:r>
      </w:hyperlink>
      <w:r>
        <w:rPr/>
        <w:t>)</w:t>
      </w:r>
    </w:p>
    <w:p>
      <w:pPr>
        <w:pStyle w:val="Heading1"/>
        <w:bidi w:val="0"/>
        <w:spacing w:before="240" w:after="120"/>
        <w:jc w:val="start"/>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4"/>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Lohit Devanagari"/>
      <w:b/>
      <w:bCs/>
      <w:sz w:val="48"/>
      <w:szCs w:val="48"/>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spacing w:before="140" w:after="120"/>
      <w:outlineLvl w:val="2"/>
    </w:pPr>
    <w:rPr>
      <w:rFonts w:ascii="Liberation Serif" w:hAnsi="Liberation Serif" w:eastAsia="Noto Serif CJK SC" w:cs="Lohit Devanagari"/>
      <w:b/>
      <w:bCs/>
      <w:sz w:val="28"/>
      <w:szCs w:val="28"/>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NumberingSymbols">
    <w:name w:val="Numbering Symbols"/>
    <w:qFormat/>
    <w:rPr/>
  </w:style>
  <w:style w:type="character" w:styleId="FollowedHyperlink">
    <w:name w:val="FollowedHyperlink"/>
    <w:rPr>
      <w:color w:val="800000"/>
      <w:u w:val="single"/>
    </w:rPr>
  </w:style>
  <w:style w:type="character" w:styleId="Strong">
    <w:name w:val="Strong"/>
    <w:qFormat/>
    <w:rPr>
      <w:b/>
      <w:bCs/>
    </w:rPr>
  </w:style>
  <w:style w:type="character" w:styleId="Emphasis">
    <w:name w:val="Emphasis"/>
    <w:qFormat/>
    <w:rPr>
      <w:i/>
      <w:iCs/>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FrameContents">
    <w:name w:val="Frame Contents"/>
    <w:basedOn w:val="Normal"/>
    <w:qFormat/>
    <w:pPr/>
    <w:rPr/>
  </w:style>
  <w:style w:type="paragraph" w:styleId="FrameContentsuser">
    <w:name w:val="Frame Contents (user)"/>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c.ny.gov/environmental-protection/waste-management/hazardous-waste/norlite-llc" TargetMode="External"/><Relationship Id="rId3" Type="http://schemas.openxmlformats.org/officeDocument/2006/relationships/hyperlink" Target="https://nysfocus.com/2025/10/20/hochul-foil-transparency-veto" TargetMode="External"/><Relationship Id="rId4" Type="http://schemas.openxmlformats.org/officeDocument/2006/relationships/hyperlink" Target="https://www.fingerlakesdailynews.com/local/ontario-seneca-wayne/dec-sends-seneca-meadows-66-new-questions-on-expansion-proposal/" TargetMode="External"/><Relationship Id="rId5" Type="http://schemas.openxmlformats.org/officeDocument/2006/relationships/hyperlink" Target="https://dec.ny.gov/news/press-releases/2024/2/dec-review-of-historic-ash-management-practices-finds-violations-at-covanta-hempstead-resource-recovery-facility" TargetMode="External"/><Relationship Id="rId6" Type="http://schemas.openxmlformats.org/officeDocument/2006/relationships/hyperlink" Target="https://www.wamc.org/capital-region-news/2021-02-11/as-nysdec-warns-norlite-environmentalists-fault-dec-over-pfas-at-norlite" TargetMode="External"/><Relationship Id="rId7" Type="http://schemas.openxmlformats.org/officeDocument/2006/relationships/hyperlink" Target="https://earthjustice.org/press/2025/groups-file-lawsuit-against-nys-dec-and-caithness-gas-plant-for-clcpa-violations" TargetMode="External"/><Relationship Id="rId8" Type="http://schemas.openxmlformats.org/officeDocument/2006/relationships/hyperlink" Target="https://dec.ny.gov/environmental-protection/recycling-composting/organic-materials-management/technologies/biosolids-management" TargetMode="External"/><Relationship Id="rId9" Type="http://schemas.openxmlformats.org/officeDocument/2006/relationships/hyperlink" Target="https://www.mainelegislature.org/legis/statutes/38/title38ch2.pdf" TargetMode="External"/><Relationship Id="rId10" Type="http://schemas.openxmlformats.org/officeDocument/2006/relationships/hyperlink" Target="https://law.justia.com/codes/new-york/env/article-70/70-0115/" TargetMode="External"/><Relationship Id="rId11" Type="http://schemas.openxmlformats.org/officeDocument/2006/relationships/hyperlink" Target="https://imprintnews.org/top-stories/new-york-lawmakers-hope-to-speed-responses-to-public-records-requests/267394" TargetMode="External"/><Relationship Id="rId12" Type="http://schemas.openxmlformats.org/officeDocument/2006/relationships/hyperlink" Target="https://dec.ny.gov/news/press-releases/2024/2/dec-review-of-historic-ash-management-practices-finds-violations-at-covanta-hempstead-resource-recovery-facility" TargetMode="External"/><Relationship Id="rId13" Type="http://schemas.openxmlformats.org/officeDocument/2006/relationships/hyperlink" Target="https://nysfocus.com/2025/10/20/hochul-foil-transparency-veto" TargetMode="External"/><Relationship Id="rId14" Type="http://schemas.openxmlformats.org/officeDocument/2006/relationships/hyperlink" Target="https://nysfocus.com/2025/10/20/hochul-foil-transparency-veto?utm_source=chatgpt.com" TargetMode="External"/><Relationship Id="rId15" Type="http://schemas.openxmlformats.org/officeDocument/2006/relationships/hyperlink" Target="https://imprintnews.org/top-stories/new-york-lawmakers-hope-to-speed-responses-to-public-records-requests/267394" TargetMode="External"/><Relationship Id="rId16" Type="http://schemas.openxmlformats.org/officeDocument/2006/relationships/hyperlink" Target="https://imprintnews.org/top-stories/new-york-lawmakers-hope-to-speed-responses-to-public-records-requests/267394?utm_source=chatgpt.com" TargetMode="External"/><Relationship Id="rId17" Type="http://schemas.openxmlformats.org/officeDocument/2006/relationships/hyperlink" Target="https://dec.ny.gov/environmental-protection/waste-management/hazardous-waste/norlite-llc" TargetMode="External"/><Relationship Id="rId18" Type="http://schemas.openxmlformats.org/officeDocument/2006/relationships/hyperlink" Target="https://dec.ny.gov/environmental-protection/waste-management/hazardous-waste/norlite-llc?utm_source=chatgpt.com" TargetMode="External"/><Relationship Id="rId19" Type="http://schemas.openxmlformats.org/officeDocument/2006/relationships/hyperlink" Target="https://law.justia.com/codes/new-york/env/article-70/70-0115/" TargetMode="External"/><Relationship Id="rId20" Type="http://schemas.openxmlformats.org/officeDocument/2006/relationships/hyperlink" Target="https://law.justia.com/codes/new-york/env/article-70/70-0115/?utm_source=chatgpt.com" TargetMode="External"/><Relationship Id="rId21" Type="http://schemas.openxmlformats.org/officeDocument/2006/relationships/hyperlink" Target="https://www.wamc.org/capital-region-news/2021-02-11/as-nysdec-warns-norlite-environmentalists-fault-dec-over-pfas-at-norlite" TargetMode="External"/><Relationship Id="rId22" Type="http://schemas.openxmlformats.org/officeDocument/2006/relationships/hyperlink" Target="https://www.wamc.org/capital-region-news/2021-02-11/as-nysdec-warns-norlite-environmentalists-fault-dec-over-pfas-at-norlite?utm_source=chatgpt.com" TargetMode="External"/><Relationship Id="rId23" Type="http://schemas.openxmlformats.org/officeDocument/2006/relationships/hyperlink" Target="https://www.fingerlakesdailynews.com/local/ontario-seneca-wayne/dec-sends-seneca-meadows-66-new-questions-on-expansion-proposal/" TargetMode="External"/><Relationship Id="rId24" Type="http://schemas.openxmlformats.org/officeDocument/2006/relationships/hyperlink" Target="https://www.whec.com/top-news/overwhelming-stench-seneca-county-residents-push-back-against-landfill/" TargetMode="External"/><Relationship Id="rId25" Type="http://schemas.openxmlformats.org/officeDocument/2006/relationships/hyperlink" Target="https://www.fingerlakesdailynews.com/local/ontario-seneca-wayne/dec-sends-seneca-meadows-66-new-questions-on-expansion-proposal/?utm_source=chatgpt.com" TargetMode="External"/><Relationship Id="rId26" Type="http://schemas.openxmlformats.org/officeDocument/2006/relationships/hyperlink" Target="https://waterfrontonline.blog/2024/03/25/lawsuit-against-seneca-meadows-dec-seeks-to-block-landfills-expansion-over-odors-that-violate-green-amendment/" TargetMode="External"/><Relationship Id="rId27" Type="http://schemas.openxmlformats.org/officeDocument/2006/relationships/hyperlink" Target="https://law.justia.com/cases/new-york/other-courts/2025/2025-ny-slip-op-31034-u.html" TargetMode="External"/><Relationship Id="rId28" Type="http://schemas.openxmlformats.org/officeDocument/2006/relationships/hyperlink" Target="https://waterfrontonline.blog/2024/03/25/lawsuit-against-seneca-meadows-dec-seeks-to-block-landfills-expansion-over-odors-that-violate-green-amendment/?utm_source=chatgpt.com" TargetMode="External"/><Relationship Id="rId29" Type="http://schemas.openxmlformats.org/officeDocument/2006/relationships/hyperlink" Target="https://dec.ny.gov/news/press-releases/2024/2/dec-review-of-historic-ash-management-practices-finds-violations-at-covanta-hempstead-resource-recovery-facility" TargetMode="External"/><Relationship Id="rId30" Type="http://schemas.openxmlformats.org/officeDocument/2006/relationships/hyperlink" Target="https://www.kmllp.com/news/newsday-reports-on-dec-probe-showing-covanta-violated-state-environmental-law-in-practices-brought-to-light-by-km-whistleblower-case" TargetMode="External"/><Relationship Id="rId31" Type="http://schemas.openxmlformats.org/officeDocument/2006/relationships/hyperlink" Target="https://dec.ny.gov/news/press-releases/2024/2/dec-review-of-historic-ash-management-practices-finds-violations-at-covanta-hempstead-resource-recovery-facility?utm_source=chatgpt.com" TargetMode="External"/><Relationship Id="rId32" Type="http://schemas.openxmlformats.org/officeDocument/2006/relationships/hyperlink" Target="https://earthjustice.org/press/2025/groups-file-lawsuit-against-nys-dec-and-caithness-gas-plant-for-clcpa-violations" TargetMode="External"/><Relationship Id="rId33" Type="http://schemas.openxmlformats.org/officeDocument/2006/relationships/hyperlink" Target="https://earthjustice.org/press/2025/groups-file-lawsuit-against-nys-dec-and-caithness-gas-plant-for-clcpa-violations?utm_source=chatgpt.com" TargetMode="External"/><Relationship Id="rId34" Type="http://schemas.openxmlformats.org/officeDocument/2006/relationships/hyperlink" Target="https://dec.ny.gov/environmental-protection/recycling-composting/organic-materials-management/technologies/biosolids-management" TargetMode="External"/><Relationship Id="rId35" Type="http://schemas.openxmlformats.org/officeDocument/2006/relationships/hyperlink" Target="https://extapps.dec.ny.gov/docs/materials_minerals_pdf/dmm7.pdf" TargetMode="External"/><Relationship Id="rId36" Type="http://schemas.openxmlformats.org/officeDocument/2006/relationships/hyperlink" Target="https://www.nysenate.gov/newsroom/press-releases/2025/pete-harckham/legislators-advocates-and-farmers-call-ban-toxic-sewage" TargetMode="External"/><Relationship Id="rId37" Type="http://schemas.openxmlformats.org/officeDocument/2006/relationships/hyperlink" Target="https://www.thenewlede.org/2025/08/how-can-this-happen-fight-over-sewage-sludge-on-farms-intensifies/" TargetMode="External"/><Relationship Id="rId38" Type="http://schemas.openxmlformats.org/officeDocument/2006/relationships/hyperlink" Target="https://dec.ny.gov/environmental-protection/recycling-composting/organic-materials-management/technologies/biosolids-management?utm_source=chatgpt.com" TargetMode="External"/><Relationship Id="rId39" Type="http://schemas.openxmlformats.org/officeDocument/2006/relationships/hyperlink" Target="https://www.mainelegislature.org/legis/statutes/38/title38ch2.pdf" TargetMode="External"/><Relationship Id="rId40" Type="http://schemas.openxmlformats.org/officeDocument/2006/relationships/hyperlink" Target="https://www.packagingdive.com/news/maine-adopts-final-rules-extended-producer-responsibility-packaging/734870/" TargetMode="External"/><Relationship Id="rId41" Type="http://schemas.openxmlformats.org/officeDocument/2006/relationships/hyperlink" Target="https://legislature.maine.gov/statutes/38/title38sec2146.html" TargetMode="External"/><Relationship Id="rId42" Type="http://schemas.openxmlformats.org/officeDocument/2006/relationships/hyperlink" Target="https://www.mainelegislature.org/legis/statutes/38/title38ch2.pdf?utm_source=chatgpt.com" TargetMode="Externa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Default Template</Template>
  <TotalTime>28</TotalTime>
  <Application>LibreOffice/25.2.6.2$Linux_X86_64 LibreOffice_project/520$Build-2</Application>
  <AppVersion>15.0000</AppVersion>
  <Pages>7</Pages>
  <Words>1713</Words>
  <Characters>12131</Characters>
  <CharactersWithSpaces>13744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2025-10-31T12:29:27Z</dcterms:created>
  <dc:creator>Yayoi</dc:creator>
  <dc:description/>
  <dc:language>en-US</dc:language>
  <cp:lastModifiedBy>Yayoi</cp:lastModifiedBy>
  <dcterms:modified xsi:type="dcterms:W3CDTF">2025-12-14T02:05:11Z</dcterms:modified>
  <cp:revision>8</cp:revision>
  <dc:subject/>
  <dc:title>Default Template</dc:title>
</cp:coreProperties>
</file>

<file path=docProps/custom.xml><?xml version="1.0" encoding="utf-8"?>
<Properties xmlns="http://schemas.openxmlformats.org/officeDocument/2006/custom-properties" xmlns:vt="http://schemas.openxmlformats.org/officeDocument/2006/docPropsVTypes"/>
</file>